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МОГО </w:t>
      </w:r>
      <w:r w:rsidR="00471FB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Ухта</w:t>
      </w:r>
      <w:r w:rsidR="00471FB6">
        <w:rPr>
          <w:b/>
          <w:bCs/>
          <w:sz w:val="28"/>
          <w:szCs w:val="28"/>
        </w:rPr>
        <w:t>»</w:t>
      </w: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  <w:jc w:val="center"/>
        <w:rPr>
          <w:b/>
          <w:bCs/>
          <w:sz w:val="28"/>
          <w:szCs w:val="28"/>
        </w:rPr>
      </w:pPr>
    </w:p>
    <w:p w:rsidR="003D0864" w:rsidRDefault="003D0864" w:rsidP="003D0864">
      <w:pPr>
        <w:pStyle w:val="Default"/>
      </w:pPr>
    </w:p>
    <w:p w:rsidR="003D0864" w:rsidRDefault="003D0864" w:rsidP="003D0864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Годовой отчет о  </w:t>
      </w: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ходе выполнения плана мероприятий по реализации Стратегии социально-экономического развития МОГО </w:t>
      </w:r>
      <w:r w:rsidR="00471FB6">
        <w:rPr>
          <w:b/>
          <w:bCs/>
          <w:sz w:val="48"/>
          <w:szCs w:val="48"/>
        </w:rPr>
        <w:t>«</w:t>
      </w:r>
      <w:r>
        <w:rPr>
          <w:b/>
          <w:bCs/>
          <w:sz w:val="48"/>
          <w:szCs w:val="48"/>
        </w:rPr>
        <w:t>Ухта</w:t>
      </w:r>
      <w:r w:rsidR="00471FB6">
        <w:rPr>
          <w:b/>
          <w:bCs/>
          <w:sz w:val="48"/>
          <w:szCs w:val="48"/>
        </w:rPr>
        <w:t>»</w:t>
      </w:r>
      <w:r>
        <w:rPr>
          <w:b/>
          <w:bCs/>
          <w:sz w:val="48"/>
          <w:szCs w:val="48"/>
        </w:rPr>
        <w:t xml:space="preserve"> на период до 2020 года</w:t>
      </w: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за 2020 год</w:t>
      </w: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/>
          <w:bCs/>
          <w:sz w:val="48"/>
          <w:szCs w:val="48"/>
        </w:rPr>
      </w:pPr>
    </w:p>
    <w:p w:rsidR="003D0864" w:rsidRDefault="003D0864" w:rsidP="003D0864">
      <w:pPr>
        <w:pStyle w:val="Default"/>
        <w:jc w:val="center"/>
        <w:rPr>
          <w:bCs/>
          <w:sz w:val="28"/>
          <w:szCs w:val="28"/>
        </w:rPr>
        <w:sectPr w:rsidR="003D0864" w:rsidSect="003D086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>
        <w:rPr>
          <w:bCs/>
          <w:sz w:val="28"/>
          <w:szCs w:val="28"/>
        </w:rPr>
        <w:t>Ухта, 2021</w:t>
      </w: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</w:t>
      </w:r>
      <w:r w:rsidRPr="00E0605E">
        <w:rPr>
          <w:bCs/>
          <w:sz w:val="26"/>
          <w:szCs w:val="26"/>
        </w:rPr>
        <w:t>риложение 1</w:t>
      </w:r>
    </w:p>
    <w:p w:rsidR="003D0864" w:rsidRPr="00306961" w:rsidRDefault="003D0864" w:rsidP="003D0864">
      <w:pPr>
        <w:pStyle w:val="Default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3D0864" w:rsidRDefault="003D0864" w:rsidP="003D0864">
      <w:pPr>
        <w:pStyle w:val="Default"/>
        <w:jc w:val="center"/>
        <w:rPr>
          <w:rFonts w:eastAsia="Times New Roman"/>
          <w:b/>
          <w:sz w:val="26"/>
          <w:szCs w:val="26"/>
          <w:lang w:eastAsia="ru-RU"/>
        </w:rPr>
      </w:pPr>
      <w:r w:rsidRPr="00306961">
        <w:rPr>
          <w:rFonts w:eastAsia="Times New Roman"/>
          <w:b/>
          <w:sz w:val="26"/>
          <w:szCs w:val="26"/>
          <w:lang w:eastAsia="ru-RU"/>
        </w:rPr>
        <w:t xml:space="preserve">Мониторинг исполнения Стратегии социально-экономического развития МОГО </w:t>
      </w:r>
      <w:r w:rsidR="00471FB6">
        <w:rPr>
          <w:rFonts w:eastAsia="Times New Roman"/>
          <w:b/>
          <w:sz w:val="26"/>
          <w:szCs w:val="26"/>
          <w:lang w:eastAsia="ru-RU"/>
        </w:rPr>
        <w:t>«</w:t>
      </w:r>
      <w:r w:rsidRPr="00306961">
        <w:rPr>
          <w:rFonts w:eastAsia="Times New Roman"/>
          <w:b/>
          <w:sz w:val="26"/>
          <w:szCs w:val="26"/>
          <w:lang w:eastAsia="ru-RU"/>
        </w:rPr>
        <w:t>Ухта</w:t>
      </w:r>
      <w:r w:rsidR="00471FB6">
        <w:rPr>
          <w:rFonts w:eastAsia="Times New Roman"/>
          <w:b/>
          <w:sz w:val="26"/>
          <w:szCs w:val="26"/>
          <w:lang w:eastAsia="ru-RU"/>
        </w:rPr>
        <w:t>»</w:t>
      </w:r>
      <w:r w:rsidRPr="00306961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на период до 2020 года </w:t>
      </w:r>
      <w:r w:rsidRPr="00306961">
        <w:rPr>
          <w:rFonts w:eastAsia="Times New Roman"/>
          <w:b/>
          <w:sz w:val="26"/>
          <w:szCs w:val="26"/>
          <w:lang w:eastAsia="ru-RU"/>
        </w:rPr>
        <w:t>за 20</w:t>
      </w:r>
      <w:r>
        <w:rPr>
          <w:rFonts w:eastAsia="Times New Roman"/>
          <w:b/>
          <w:sz w:val="26"/>
          <w:szCs w:val="26"/>
          <w:lang w:eastAsia="ru-RU"/>
        </w:rPr>
        <w:t>20</w:t>
      </w:r>
      <w:r w:rsidRPr="00306961">
        <w:rPr>
          <w:rFonts w:eastAsia="Times New Roman"/>
          <w:b/>
          <w:sz w:val="26"/>
          <w:szCs w:val="26"/>
          <w:lang w:eastAsia="ru-RU"/>
        </w:rPr>
        <w:t xml:space="preserve"> год</w:t>
      </w: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36"/>
        <w:gridCol w:w="950"/>
        <w:gridCol w:w="989"/>
        <w:gridCol w:w="996"/>
        <w:gridCol w:w="2125"/>
        <w:gridCol w:w="1133"/>
        <w:gridCol w:w="1136"/>
        <w:gridCol w:w="2551"/>
        <w:gridCol w:w="2551"/>
        <w:gridCol w:w="1808"/>
      </w:tblGrid>
      <w:tr w:rsidR="00B22455" w:rsidRPr="00B22455" w:rsidTr="00B22455">
        <w:trPr>
          <w:trHeight w:val="612"/>
          <w:tblHeader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целевых индикаторов/показателей, определяющих достижение задач стратегии муниципального образования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Значение индикатора /показателя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Мероприятия, направленные на решение задач стратегии муниципального образования и достижение целевого индикатора/ показателя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реализации мероприятия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Результат реализации мероприятия 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Пояснения, включая меры по исправлению ситуации</w:t>
            </w:r>
          </w:p>
        </w:tc>
      </w:tr>
      <w:tr w:rsidR="00B22455" w:rsidRPr="00B22455" w:rsidTr="00B22455">
        <w:trPr>
          <w:trHeight w:val="864"/>
          <w:tblHeader/>
        </w:trPr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План                   на 2020 г.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               за 2020 г.</w:t>
            </w:r>
          </w:p>
        </w:tc>
        <w:tc>
          <w:tcPr>
            <w:tcW w:w="64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Плановый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Фактический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Ожидаемый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Достигнутый</w:t>
            </w: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22455" w:rsidRPr="00B22455" w:rsidTr="00B22455">
        <w:trPr>
          <w:trHeight w:val="288"/>
          <w:tblHeader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Экономическое развитие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 Задача Стратегии: Содействие росту экономической активности в муниципальном образовании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1.1. Направление решения задачи: Создание благоприятных условий для устойчивого экономического развития городского округа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38 538,20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34 585,25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информационной базы для потенциальных инвесторов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актуального инвестиционного паспорта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размещен актуализированный инвестиционный паспорт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Мониторинг инвестиционных проектов, реализуемых и планируемых к реализации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актуальной информации о реализации инвестиционных проектов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Предприятиями и организациями города, реализующими инвестиционные проекты, представлены паспорта инвестиционных проектов за I полугодие 2020 года и 2020 год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308 498,00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302 067,49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информационной базы для потенциальных инвесторов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актуального инвестиционного паспорта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размещен актуализированный инвестиционный паспорт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Мониторинг инвестиционных проектов, реализуемых и планируемых к реализации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актуальной информации о реализации инвестиционных проектов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Предприятиями и организациями города, реализующими инвестиционные проекты, представлены паспорта инвестиционных проектов за I полугодие 2020 года и 2020 год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Отгружено товаров собственного производства, выполнено работ и услуг собственными силами (по организациям со средней численностью работников свыше 15 человек, без субъектов малого предпринимательства; в фактически действовавших ценах)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310 160,80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341 046,87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информационной базы для потенциальных инвесторов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актуального инвестиционного паспорта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размещен актуализированный инвестиционный паспорт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3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анализа и прогнозирования социально-экономического развития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прогноза социально-экономического развития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одобренного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Сформирован, одобрен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размещен на 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прогноз социально-экономического развития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2021 год и на период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 2023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Количество субъектов малого и среднего предпринимательства в расчете на 1000 человек населения муниципального образования (с учетом микропредприятий)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единицы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 2020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 2020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финансовой поддержки  не менее трем субъектам малого и среднего предпринимательства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Предоставлена финансовая поддержка 7  хозяйствующим субъектам: ИП Ильякова Е.В., ИП Матющенко Ю.И., ООО Племхоз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Изваильский-97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ИП Швецов С.А., Главе ЛПХ Рудницкий С.В., ООО Центр профилактической медицины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Ультрамед+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ООО Центр профилактической медицины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Ультрамед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(совещаний,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обучающих семинаров и т.п.)  по вопросам поддержки и развития субъектов малого и среднего предпринимательства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не менее 10 мероприятий  (совещаний,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обучающих семинаров и т.п.)  по вопросам поддержки и развития субъектов малого и среднего предпринимательства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Организованы и проведены для субъектов МСП и их работников 5 обучающих программ, 3 совещания и 28 онлайн семинаров, направленных на обучение основам 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Среднесписочная численность работников организаций  (без субъектов малого предпринимательства)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34 118,00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Участие в формировании прогноза потребности отраслей экономики Республики Коми в квалифицированных кадрах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сбора информации по кадровой потребности организаций и предприятий города и осуществление контроля ввода данных в ГАС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 сбор информации по кадровой потребности организаций и предприятий города и  ввод  данных в Региональный сегмент ГАС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Республики Коми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Мониторинг снижения неформальной занятости населения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в Министерство труда, занятости и социальной защиты Республики Коми результатов  мониторинга неформальной занятости населения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установленным срокам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мониторинга снижения неформальной занятости направлены в Министерство труда, занятости и социальной защиты Республики Коми в установленные сроки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Оборот организаций (по организациям со средней численностью работников свыше 15 человек, без субъектов малого предпринимательства; в фактически действовавших ценах)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376 279,70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370 786,92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информационной базы для потенциальных инвесторов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актуального инвестиционного паспорта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размещен актуализированный инвестиционный паспорт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03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анализа и прогнозирования социально-экономического развития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прогноза социально-экономического развития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одобренного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Сформирован, одобрен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размещен на 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прогноз социально-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экономического развития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2021 год и на период до 2023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Доля прибыльных сельскохозяйственных организаций, в </w:t>
            </w:r>
            <w:r w:rsidR="00363996"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общем,</w:t>
            </w: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их числе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 2020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 2020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финансовой поддержки  не менее трем субъектам малого и среднего предпринимательства, в том числе не менее одного субъекта малого и среднего предпринимательства</w:t>
            </w:r>
            <w:r w:rsidRPr="00B22455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сфере сельского хозяйства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Предоставлена финансовая поддержка восьми субъектам малого и среднего предпринимательства, в том числе двум сельскохозяйственным организациям: ООО Племхоз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Изваильский-97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Главе крестьянского (фермерского) хозяйства Рудницкому С.В.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осуществляют свою деятельность 2 сельскохозяйственные организации: ООО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Племхоз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Ухта-97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 ООО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Племхоз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Изваильский-97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По данным годовой бухгалтерской отчетности за 2020 год  ООО Племхоз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Изваильский-97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получен убыток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(совещаний,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обучающих семинаров и т.п.)  по вопросам поддержки и развития субъектов малого и среднего предпринимательства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не менее 10 мероприятий  (совещаний,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обучающих семинаров и т.п.)  по вопросам поддержки и развития субъектов малого и среднего предпринимательства, в том числе не менее 4 мероприятий  для субъектов в сфере сельского хозяйства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Организованы и проведены для субъектов МСП и их работников 5 обучающих программ,  3 совещания и 28 онлайн семинаров, направленных на обучение основам ведения бизнеса, финансовой грамотности и иным навыкам предпринимательской деятельности. Во всех мероприятиях принимали участие субъекты в сфере сельского хозяйства</w:t>
            </w: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Производство основных видов продукции животноводства в хозяйствах всех категорий - скота и птицы на убой (в живом весе)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196,7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 2020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полугодие 2020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финансовой поддержки  не менее трем субъектам малого и среднего предпринимательства, в том числе не менее одного субъекта малого и среднего предпринимательства</w:t>
            </w:r>
            <w:r w:rsidRPr="00B22455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сфере сельского хозяйства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Предоставлена финансовая поддержка восьми субъектам малого и среднего предпринимательства, в том числе двум сельскохозяйственным организациям: ООО Племхоз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Изваильский-97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Главе крестьянского (фермерского) хозяйства Рудницкому С.В.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03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мероприятий (совещаний,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обучающих семинаров и т.п.)  по вопросам поддержки и развития субъектов малого и среднего предпринимательства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не менее 10 мероприятий  (совещаний,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обучающих семинаров и т.п.)  по вопросам поддержки и развития субъектов малого и среднего предпринимательства, в том числе не менее 4 мероприятий  для субъектов в сфере сельского хозяйства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Организованы и проведены для субъектов МСП и их работников 5 обучающих программ,  3 совещания и 28 онлайн семинаров, направленных на обучение основам ведения бизнеса, финансовой грамотности и иным навыкам предпринимательской деятельности. Во всех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мероприятиях принимали участие субъекты в сфере сельского хозяйства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1.2. Направление решения задачи: Создание условий для удовлетворения потребностей населения в качественном жилье и жилищно-коммунальных услугах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земельных участков, предоставленных для строительства в расчете на 10 тыс. человек населения - всего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потенциальных застройщиков о свободных земельных участках для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актуальной информации о свободных земельных участках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Актуальный перечень свободных земельных участков, расположенных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размещен на сайте Комитета по управлению муниципальным имуществом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www.kumi.mouhta.ru в разделе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http://kumi.mouhta.ru/spisok-svobodnykh-obektov/zemelnye-uchastki.php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Предоставление земельных участков носит заявительный характер, спроса на предоставление земельных участков для строительства нет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разрешений на строительство, реконструкцию объектов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выдача разрешительной документации для осуществления градостроительной деятельности 100% обратившимся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Разрешительная документация для осуществления градостроительной деятельности подготовлена и выдана обратившимся в полном объеме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в расчете на 10 тыс. человек населения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потенциальных застройщиков о свободных земельных участках для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актуальной информации о свободных земельных участках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Актуальный перечень свободных земельных участков, расположенных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размещен на сайте Комитета по управлению муниципальным имуществом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www.kumi.mouhta.ru в разделе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http://kumi.mouhta.ru/spisok-svobodnykh-obektov/zemelnye-uchastki.php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 Отсутствуют сформированные земельные участки, пригодные для индивидуального жилищного строительства. Предоставление земельных участков для жилищного строительства и комплексного освоения в целях жилищного строительства носит заявительный характер, спроса на указанные земельные участки  нет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разрешений на строительство, реконструкцию объектов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выдача разрешительной документации для осуществления градостроительной деятельности 100% обратившимся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Разрешительная документация для осуществления градостроительной деятельности подготовлена и выдана обратившимся в полном объеме</w:t>
            </w: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Число проживающих в ветхих жилых домах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Переселено из ветхих жилых домов за отчетный год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разрешений на строительство, реконструкцию объектов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выдача разрешительной документации для осуществления градостроительной деятельности 100% обратившимся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Разрешительная документация для осуществления градостроительной деятельности подготовлена и выдана обратившимся в полном объеме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потенциальных застройщиков о свободных земельных участках для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Наличие актуальной информации о свободных земельных участках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Актуальный перечень свободных земельных участков, расположенных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размещен на сайте Комитета по управлению муниципальным имуществом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www.kumi.mouhta.ru в разделе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http://kumi.mouhta.ru/spisok-svobodnykh-obektov/zemelnye-uchastki.php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363996">
        <w:trPr>
          <w:trHeight w:val="115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помещений, введенная в действие за один год, приходящаяся в среднем на одного жителя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разрешений на строительство, реконструкцию объектов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выдача разрешительной документации для осуществления градостроительной деятельности 100% обратившимся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Разрешительная документация для осуществления градостроительной деятельности подготовлена и выдана обратившимся в полном объеме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Информация представлена по данным Комистат. В 2020 году введено  в действие жилых домов  6222 кв.м жилой площади, в том числе 4549 кв.м построенных населением. Значение показателя зависит от финансовой стабильности организаций строительной отрасли, а также спроса населения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потенциальных застройщиков о свободных земельных участках для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актуальной информации о свободных земельных участках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Актуальный перечень свободных земельных участков, расположенных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размещен на сайте Комитета по управлению муниципальным имуществом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www.kumi.mouhta.ru в разделе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http://kumi.mouhta.ru/spisok-svobodnykh-obektov/zemelnye-uchastki.php</w:t>
            </w: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2455" w:rsidRPr="00B22455" w:rsidTr="00B22455">
        <w:trPr>
          <w:trHeight w:val="224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1 проекта межевания территорий, застроенных многоквартирными домами, с целью определения и установления границ земельных участков под многоквартирными домами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Постановлениями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09.12.2020 № 3465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утверждении проекта межевания территории, застроенной многоквартирными домами, в границах улиц: Бушуева, 30 лет Октября, Севастопольская, г.Ухта, Республика Коми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от 11.01.2021 № 11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 утверждении проекта межевания территории, застроенной многоквартирными домами, в границах улиц: Ленина, Октябрьская, Первомайская в пгт Водный г.Ухта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утверждены 2 проекта межевания территорий, застроенных многоквартирными домами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Отклонение от планового значения целевого индикатора произошло в связи с изменениями в Земельном  законодательстве, что привело к значительному удорожанию данных работ (разработка и утверждение проекта межевания на территории). Работы выполнялись в рамках  объемов финансирования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Ввод в действие жилых домов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кв.м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разрешений на строительство, реконструкцию объектов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выдача разрешительной документации для осуществления градостроительной деятельности 100% обратившимся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Разрешительная документация для осуществления градостроительной деятельности подготовлена и выдана обратившимся в полном объеме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Информация представлена по данным Комистат. Значение показателя зависит от финансовой стабильности организаций строительной отрасли, удорожания кредитных ресурсов и сложности их получения застройщиками, а также спроса населения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потенциальных застройщиков о свободных земельных участках для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актуальной информации о свободных земельных участках 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Актуальный перечень свободных земельных участков, расположенных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размещен на сайте Комитета по управлению муниципальным имуществом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www.kumi.mouhta.ru в разделе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http://kumi.mouhta.ru/spisok-svobodnykh-obektov/zemelnye-uchastki.php</w:t>
            </w: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2455" w:rsidRPr="00B22455" w:rsidTr="00B22455">
        <w:trPr>
          <w:trHeight w:val="2448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соглашения между администрацией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Министерством труда, занятости и социальной  защиты Республики Коми о предоставлении  бюджету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субвенций  на обеспечение жильем отдельных  категорий граждан, установленных Федеральными законами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жилищных условий не менее чем 4 граждан, состоящих на  учете  в качестве нуждающегося в жилье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обеспечения жильем отдельных категорий граждан, установленных Федеральным законом от 12.01.1995 г. № 5-ФЗ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ветеранах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Федеральным законом от 24.11.1995 г. № 181-ФЗ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социальной защите инвалидов в Российской Федерации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выделено 3 337 992 руб. Выплаты получили: 2 гражданина, состоящие на учете по категории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ветеран боевых действий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и 2 гражданина, состоящие на учете по категории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инвалиды I, II группы и семьи, имеющие детей-инвалидов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46 молодым  семьям предоставлена социальная выплата на приобретение (строительство) жилья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632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граждан из числа детей-сирот и детей, оставшихся без попечения родителей, обеспеченных жилыми помещениями, к общей численности граждан из числа детей-сирот и детей, оставшихся без попечения родителей, состоящих на учете в качестве нуждающихся в жилых помещениях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соглашения между администрацией муниципального образования городского округа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Министерством труда, занятости и социальной защиты Республики Коми о предоставлении бюджету муниципального образования городского округа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субвенций на обеспечение детей-сирот и детей, оставшихся без попечения родителей, жилыми помещениями по договорам найма специализированных жилых помещений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не менее 38 жилых помещений  на обеспечение жильем детей-сирот и детей, оставшихся без попечения родителей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Приобретено 40 жилых помещений  на обеспечение жильем детей-сирот и детей, оставшихся без попечения родителей. Обеспечены 44 гражданина из  числа детей-сирот (4 жилых помещения  приобретены были в декабре 2019 года, а предоставлялись в 2020 году)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 свидетельств о праве на получение социальной выплаты на приобретение жилого помещения или создание объекта индивидуального жилищного строительства не менее чем 30 молодым семьям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 молодых семей получили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расселенных помещений аварийного жилищного фонда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в рамках программы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Переселение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из аварийного жилищного фонда на 2019 - 2025 годы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утвержденной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Переселение граждан не менее чем из 4 аварийных жилых помещений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Переселены граждане из 21 аварийного помещения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В виду отказа граждан от жилых помещений, предлагаемых к переселению. Решение споров ведется в судебном порядке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переселенных жителей из аварийного жилищного фонда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в рамках программы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Переселение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из аварийного жилищного фонда на 2019 - 2025 годы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утвержденной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Переселение не менее 11 граждан из аварийного жилищного фонда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Переселены 48 граждан из аварийного жилищного фонда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В виду отказа граждан от жилых помещений, предлагаемых к переселению. Решение споров ведется в судебном порядке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Расселенная площадь аварийного жилищного фонда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1558,2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в рамках программы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Переселение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из аварийного жилищного фонда на 2019 - 2025 годы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утвержденной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Переселение граждан из аварийного жилищного фонда площадью не менее 168,8 кв.м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Переселены граждане из аварийного жилищного фонда площадью 988,0 кв.м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целевого индикатора не достигнуто. В виду отказа граждан от жилых помещений, предлагаемых к переселению. Решение споров ведется в судебном порядке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(ремонта) и содержание объектов коммунальной инфраструктуры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(ремонта) не менее чем 1 объекта коммунальной инфраструктуры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МУП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Ухтаводоканал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 капитальный ремонт сетей холодного водоснабжения в количестве 2 635,04 п.м., сетей водоотведения - 1 037,80 п.м. Содержание наружных газопроводов осуществлялось по соглашению с АО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Газпром газораспределение Сыктывкар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 01.07.2020г. № УМРГ-70/08-ТО НС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Уровень удовлетворенности населения жилищно-коммунальными услугами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от числа опрошенных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(ремонта) и содержание объектов коммунальной инфраструктуры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(ремонта) не менее чем 1 объекта коммунальной инфраструктуры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МУП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Ухтаводоканал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 капитальный ремонт сетей холодного водоснабжения в количестве 2 635,04 п.м., сетей водоотведения - 1 037,80 п.м. Содержание наружных газопроводов осуществлялось по соглашению с АО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Газпром газораспределение Сыктывкар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 01.07.2020г. № УМРГ-70/08-ТО НС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содержания муниципального жилищного фонда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Отсутствие задолженности перед поставщиками услуг по управлению, содержанию и текущему ремонту муниципального жилищного фонда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перед поставщиками услуг по управлению, содержанию и текущему ремонту муниципального жилищного фонда отсутствует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1.3. Направление решения задачи: Обеспечение потребности населения в качественных и доступных транспортных услугах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 протяженности автомобильных дорог общего пользования местного значения, 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Реконструкция и модернизация дорог общего пользования местного значения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площади дорог общего пользования местного значения, не отвечающих нормативным требованиям, на 3% по сравнению с 2019 годом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данного мероприятия работы не выполнялись. Площадь дорог общего пользования местного значения, не отвечающих нормативным требованиям, увеличилась по сравнению с 2019 годом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достигнуто значение целевого индикатора. Уменьшение значения показателя связано с включением в Перечень автомобильных дорог местного значения участка а/д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Бельгопское шоссе от здания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УЭМЗ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перекрестка с ул. Линейная с двумя мостовыми сооружениями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 покрытием, не отвечающим нормативным требованиям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в полном объеме неотложных работ по ремонту и содержанию дорог общего пользования местного значения  в целях ликвидации дефектов дорожного покрытия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Неотложные работ по ремонту и содержанию дорог общего пользования местного значения  в целях ликвидации дефектов дорожного покрытия выполнены в полном объеме, проведен ремонт 81 685,0 кв.м. объектов дорожной инфраструктуры</w:t>
            </w: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1.4. Направление решения задачи: Повышение уровня благоустройства территории муниципального образования</w:t>
            </w:r>
          </w:p>
        </w:tc>
      </w:tr>
      <w:tr w:rsidR="00B22455" w:rsidRPr="00B22455" w:rsidTr="00471FB6">
        <w:trPr>
          <w:trHeight w:val="603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реализованных проектов по благоустройству дворовых территорий в общем количестве проектов по благоустройству дворовых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территорий, подлежащих к реализации в отчетном году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Благоустройство дворовых территорий и проездов МОГО </w:t>
            </w:r>
            <w:r w:rsid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благоустройства не менее 10 дворовых территорий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Проведено благоустройство 10 дворовых территорий, что составило 100 % реализованных проектов по благоустройству дворовых территорий в общем количестве проектов по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благоустройству дворовых территорий, подлежащих к реализации в отчетном году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объектов благоустройства дворовых территорий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ремонта не менее 10 объектов дворовых территорий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Выполнены работы по асфальтированию 13 дворовых проездов многоквартирных домов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общей площади 7 тыс. кв.м.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63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реализованных проектов по благоустройству общественных территорий в общем количестве проектов по благоустройству общественных территорий, подлежащих к реализации в отчетном году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Благоустройство общественных территорий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благоустройства не менее 2 общественных территорий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Выполнено благоустройство двух общественных территорий: Октябрьская площадь г. Ухта и тротуар по ул. Гагарина в пгт. Водный. </w:t>
            </w:r>
            <w:r w:rsidR="00363996"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реализованных проектов по благоустройству общественных территорий в общем количестве проектов по благоустройству общественных территорий, подлежащих к реализации в отчетном году</w:t>
            </w:r>
            <w:r w:rsidR="003639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363996"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составила 100 %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24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объектов благоустройства общественных территорий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содержания общественных территорий  в полном объеме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Содержание общественных территорий обеспечено в полном объеме. Работы по содержанию и ремонту объектов внешнего благоустройства проводятся силами МКП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Горзеленхоз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МКП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Ухтаспецавтодор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 рамках заключенных соглашений о предоставлении субсидии на возмещение затрат, возникающих в результате капитального ремонта (ремонта) и содержания объектов внешнего благоустройства, объектов культурного наследия, расположенных в границах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Социальное развитие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2. Задача Стратегии: Развитие социальной сферы и обеспечение социальной стабильности муниципального образования городского округа </w:t>
            </w:r>
            <w:r w:rsidR="0047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2.1. Направление решения задачи: Повышение доступности, качества и эффективности системы образования с учетом потребностей населения муниципального образования</w:t>
            </w:r>
          </w:p>
        </w:tc>
      </w:tr>
      <w:tr w:rsidR="00B22455" w:rsidRPr="00B22455" w:rsidTr="00471FB6">
        <w:trPr>
          <w:trHeight w:val="46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Доля детей в возрасте 1 - 6 лет, получающих дошкольную </w:t>
            </w: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капитального и текущего ремонта дошкольных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Отсутствие муниципальных дошкольных образовательных учреждений, здания которых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находятся в аварийном состоянии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Муниципальные дошкольные образовательные учреждения, здания которых находятся в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аварийном состоянии, отсутствуют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муниципальных услуг (выполнение работ) дошкольными образовательными учреждениями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Получение детьми в возрасте 1 - 6 лет дошкольной образовательной услуги или услуг по их содержанию в муниципальных образовательных учреждениях не менее 87%, в общей численности детей в возрасте 1 - 6 лет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97 % детей в возрасте 1 - 6 лет, в общей численности детей в этом возрасте, получили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0 - 7 лет, состоящих на учете для определения в муниципальные дошкольные образовательные организации, в общей численности детей в возрасте от 0 - 7 лет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Строительство, реконструкция,  модернизация  дошкольных 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полугодие 2020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Ввод в эксплуатацию объекта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 сад №50 компенсирующего вида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 сад №50 компенсирующего вида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введен в эксплуатацию 01.09.2020 года. Официальное открытие дошкольного образовательного учреждения состоялось 21.09.2020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Удовлетворенность родителей (законных представителей) качеством предоставления муниципальных услуг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от общего числа опрошенных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муниципальных услуг (выполнение работ) дошкольными образовательными учреждениями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 уровня удовлетворённости родителей (законных представителей) качеством предоставления муниципальных услуг не менее чем на 1% по сравнению с 2019 годом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удовлетворённости родителей (законных представителей) качеством предоставления муниципальных услуг составил 95 %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работников дошкольных 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не менее 95  работников дошкольных образовательных организаций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получили 36  работников дошкольных образовательных организаций. Недовыполнение мероприятия связано с введёнными ограничениями (с марта по август 2020 года)  в условиях распространения новой коронавирусной инфекции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родителей (законных представителей) компенсацией, имеющих право на неё, в полном объеме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Обеспечены 100% от всех обратившихся родителей (законных представителей), воспользовавшихся правом на получение компенсации части родительской платы, в общей численности родителей (законных представителей)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работников общеобразовательных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не менее 95  работников общеобразовательных учреждений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Повысили квалификацию 101 работник  общеобразовательных учреждений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муниципального  проекта  поддержки школ с низкими образовательными результатами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Отсутствие увеличения количества выпускников, не получивших аттестат о среднем общем образовании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выпускники, не получившие аттестат о среднем общем образовании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выпускников муниципальных общеобразовательных организаций, не получивших аттестат об основном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работников общеобразовательных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не менее 95  работников общеобразовательных учреждений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Повысили квалификацию 101 работник  общеобразовательных учреждений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муниципального  проекта  поддержки школ с низкими образовательными результатами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Отсутствие увеличения количества выпускников, не получивших аттестат о среднем общем образовании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Отсутствуют выпускники, не получившие аттестат о среднем общем образовании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в муниципальных общеобразовательных организациях, занимающихся во вторую смену, в общей численности, обучающихся в муниципальных общеобразовательных организациях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и текущего ремонта общеобразовательных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доли обучающихся в муниципальных общеобразовательных организациях, занимающихся во вторую смену, в общей численности  обучающихся в муниципальных общеобразовательных организациях, не менее чем на 5 %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 в муниципальных общеобразовательных организациях, занимающихся во вторую смену, в общей численности, обучающихся в муниципальных общеобразовательных организациях, увеличилась на  0,17%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снижения количества обучающихся во вторую смену существует необходимость капитальных вложений в строительство школ для обеспечения образовательного процесса в муниципальных общеобразовательных организациях в одну смену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и модернизация материально-технической базы общеобразовательных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Улучшение материально-технической базы общеобразовательных учреждений в соответствии с современными требованиями (проведение антитеррористических мероприятий не менее в 3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общеобразовательных организациях); приобретение оборудования не менее в 2 общеобразовательных организациях (при наличии финансирования)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Улучшена материально-техническая база общеобразовательных учреждений в соответствии с современными требованиями (проведены антитеррористических мероприятия, приобретено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оборудование) в 5 общеобразовательных организациях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 1 - 4 классов в муниципальных образовательных организациях, реализующих образовательную программу начального общего образования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Охват питанием   100% обучающихся 1 - 4 классов в муниципальных образовательных организациях 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от общего количества обучающихся 1 - 4 классов в образовательных организациях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Питанием  охвачено  100% обучающихся 1 - 4 классов в муниципальных образовательных организациях 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от общего количества обучающихся 1 - 4 классов в образовательных организациях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здоровьесберегающих программ в муниципальных образовательных организациях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здоровьесберегающими программами 100%  обучающихся в образовательных организациях в муниципальном образовании, от общего количества обучающихся в образовательных организациях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Здоровьесберегающими программами охвачено 100%  обучающихся в образовательных организациях в муниципальном образовании, от общего количества обучающихся в образовательных организациях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и текущего ремонта общеобразовательных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 по ремонту кровли (не менее в 2 общеобразовательных организациях); проведение противопожарных мероприятий (не менее в 3 общеобразовательных организациях); проведение текущего ремонта помещений (не менее в 2 общеобразовательных организациях) при наличии финансирования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работы по ремонту кровли в 2 общеобразовательных организациях; проведены противопожарные мероприятия  в 6 общеобразовательных организациях; проведен текущий ремонт помещений в 2 общеобразовательных организациях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и модернизация материально-технической базы общеобразовательных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антитеррористических мероприятий (не менее в 3 общеобразовательных организациях); приобретение оборудования (не менее в 2 общеобразовательных организациях)  при наличии финансирования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Улучшена материально-техническая база общеобразовательных учреждений в соответствии с современными требованиями (проведены антитеррористических мероприятия, приобретено оборудование) в 5 общеобразовательных организациях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и текущего ремонта  муниципальных учреждений дополнительного образования  детей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кровли (не менее 1 учреждения дополнительного образования); проведение противопожарных мероприятий (не менее  1 учреждения дополнительного образования); проведение текущего ремонта помещений (не менее  1 учреждения дополнительного образования) при наличии финансирования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рамках соглашения о сотрудничестве между Правительством Республики Коми, в лице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и ООО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Газпром трансгаз 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ведется реконструкция МУ ДО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творчества имени Г.А. Карчевского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капитальный ремонт кровли помещения проведен одним из первых этапов реконструкции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сертификатов дополнительного образования в статусе сертификатов персонифицированного финансирования не менее 5 % детей в возрасте от 5 до 18 лет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составляет 11,5 % детей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детей, охваченных оздоровительной кампанией, в общей численности детей школьного возраста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оздоровительной кампании детей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течение года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течение года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не менее 55 единиц детских оздоровительных лагерей, профильных, палаточных лагерей, лагерей труда и отдыха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решению оперативного штаба по контролю и мониторингу новой коронавирусной инфекции (2019-nCoV)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связи с неблагополучной ситуацией по причине распространения коронавирусной инфекции в муниципалитете оздоровительная кампания в 2020 г. не проводилась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профильных программ различной направленности в летний период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профильных программ детскими оздоровительными лагерями не менее 80% от общего их количества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решению оперативного штаба по контролю и мониторингу новой коронавирусной инфекции (2019-nCoV)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связи с неблагополучной ситуацией по причине распространения коронавирусной инфекции в муниципалитете оздоровительная кампания в 2020 г. не проводилась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подростков, трудоустроенных на средства местного бюджета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временной занятости подростков в летний период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Июнь-август 2020 года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Июнь-август 2020 года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не менее 20 лагерей труда и отдыха и не менее 42 трудовых отрядов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363996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период с 06 июля по 31 августа 2020 года на территории МОГО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организовано 73 трудовых отряда, создано 1092 рабочих места для трудоустройства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обучающихся в возрасте от 14 до 18 лет, в том числе в учреждениях образования, учреждениях культуры, учреждениях физкультуры и спорта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профориентационных мероприятий на базе лагерей труда и отдыха, трудовых отрядов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Июнь-август 2020 года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Июнь-август 2020 года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не менее 1 профориентационного мероприятия в смену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Проведены профориентационные  мероприятия  совместно с Государственным учреждением Республики Коми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занятости населения города Ухты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2.2. Направление решения задачи: Развитие культурного потенциала, сохранение культурного наследия и гармонизация культурной жизни населения муниципального образования, а также развитие туризма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фактической обеспеченности учреждениями культуры от нормативной потребности клубами и учреждениями клубного типа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128,9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123,6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народных проектов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не менее 1 народного проекта в сфере  культуры 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Реализовано 2 народных проекта в сфере  культуры: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клуба с. Кедвавом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(ремонт входной группы и установка окон);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входной группы и замена окон в клубе – филиале мкр. Подгорный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дом культуры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материально-технической базы не менее 1 объекта культуры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Проведено оснащение материально-технической базы клуба-филиала пгт Боровой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фактической обеспеченности учреждениями культуры от нормативной потребности библиотеками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7Я и книга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арт-студии для организации семейного досуга родителей и детей в возрасте 5-6 лет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Создана и функционирует арт-студия для организации семейного досуга родителей и детей в возрасте 5-6 лет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локального проекта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шага к on-line читателю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Переход от виртуального чтения к традиционному с охватом  не менее  100 читателей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Содержание проекта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шага к on-line читателю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не включало в себя проведение очных мероприятий, поэтому проект полностью реализован в онлайн формате. Количество просмотров проекта в сети Интернет составило 8162 единицы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Уровень фактической обеспеченности учреждениями культуры от нормативной потребности парками культуры и отдыха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молодежной площадки для развития  молодежных творческих коллективов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не менее 1 мероприятия для молодежи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базе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молодежи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 МАУ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Городской ДК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проведен ряд патриотических мероприятий с участием  молодежи. Торжественный вечер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Дорогами Афгана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тематический концерт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 за Родину пали, но она спасена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посвященный Ржевской битве,  концерт к 14 февраля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Дню святого Валентина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территории парка культуры и отдыха как площадку для проведения уличных культурно-массовых мероприятий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не менее 7 уличных  культурно-массовых мероприятий на территории парка культуры и отдыха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решению оперативного штаба по контролю и мониторингу новой коронавирусной инфекции (2019-nCoV)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связи с неблагополучной ситуацией по причине распространения коронавирусной инфекции культурно-массовые мероприятия на территории парка культуры и отдыха не проводились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удовлетворенности населения качеством предоставления муниципальных услуг в сфере культуры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от числа опрошенных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городских мероприятий, фестивалей, смотров, реализация творческих проектов в области культуры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не менее 6 тысяч мероприятий в области культуры и досуга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Проведено 2 тысячи мероприятий в формате онлайн, в связи с неблагополучной ситуацией по причине распространения коронавирусной инфекции очные культурно-массовые мероприятия не проводились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муниципальных учреждений, здания которых находятся в аварийном состоянии в общем числе муниципальных учреждений по отраслям: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текущего  ремонта  объектов культуры, дополнительного образования детей, объектов культурного наследия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текущего ремонта не менее чем в одном объекте культуры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Проведены ремонтные работы зрительного зала и артистической зоны клуба-филиала мкр. Подгорный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ЦКС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и текущего ремонта дошкольных 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Отсутствие муниципальных дошкольных образовательных учреждений, здания которых находятся в аварийном состоянии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Муниципальные дошкольные образовательные учреждения, здания которых находятся в аварийном состоянии, отсутствуют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и текущего ремонта общеобразовательных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ремонту кровли (не менее в 2 общеобразовательных организациях); проведение противопожарных мероприятий (не менее в 3 общеобразовательных организациях); проведение текущего ремонта помещений (не менее в 2 общеобразовательных организациях) при наличии финансирования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работы по ремонту кровли в 2 общеобразовательных организациях; проведены противопожарные мероприятия  в 6 общеобразовательных организациях; проведен текущий ремонт помещений в 2 общеобразовательных организациях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каталогов библиотечных фондов, переведенных в цифровой формат и доступных пользователям посредством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от общего объема каталогов муниципальных библиотек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Перевод в цифровой формат  каталогов библиотечных фондов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Пополнение электронного каталога не менее 6 тысячами новых библиографических записей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Книжный фонд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Центральная библиотека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состоянию на 31.12.2020 составил 310 903 экз., поступление в книжный фонд составило 8 952 экз. Весь книжный фонд переведен в цифровой формат и доступен пользователям посредством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24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населения, участвующего в мероприятиях в области реализации государственной национальной политики на территории муниципального образования от общей численности населения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городских конкурсов с участием исполнителей произведений на коми и русском языках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не менее 1 мероприятия в  области реализации государственной национальной политики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Проведено расширенное заседание президиума Ухтинского представительства МОД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 войтыр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подведению итогов XXVIII Ухтинской конференции коми народа (заочного формата) по теме конференции -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Этнокультурное развитие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В 2020 году проведен республиканский фестиваль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Кадетская честь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Язык – душа народа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литературно-поэтический вечер, посвящённый международному Дню родного языка, письменности и культуры для студентов УГТУ и медицинского колледжа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363996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достижение значения показателя связано со снижением количества мероприятий в области реализации государственной национальной политики в связи с неблагополучной ситуацией по причине распространения коронавирусной инфекции, в 2020 году число посетителей составило  6,46 тыс.  человек, в 2019 году – 73,6 тыс. человек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Доля граждан, положительно оценивающих состояние межнациональных отношений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этнокультурных мероприятий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этнокультурного праздника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Сабантуй-2020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решению оперативного штаба по контролю и мониторингу новой коронавирусной инфекции (2019-nCoV)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связи с неблагополучной ситуацией по причине распространения коронавирусной инфекции культурно-массовые мероприятия не проводились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2.3. Направление решения задачи: Оказание социальной поддержки гражданам 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 свидетельств о праве на получение социальной выплаты на приобретение жилого помещения или создание объекта индивидуального жилищного строительства не менее чем 30 молодым семьям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 молодых семей получили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дошкольного образования, в том числе для детей с ОВЗ и детей-инвалидов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Ввод в эксплуатацию объекта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 сад №50 компенсирующего вида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 сад №50 компенсирующего вида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введен в эксплуатацию 01.09.2020 года. Официальное открытие дошкольного образовательного учреждения состоялось 21.09.2020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спортивных мероприятий с учетом возрастных групп для ветеранов в рамках календарного плана физкультурных и спортивных мероприятий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не менее 11 % граждан старшего возраста систематическими занятиями физической культурой и спортом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Спортивные мероприятия с учетом возрастных групп для ветеранов в рамках календарного плана физкультурных и спортивных мероприятий не проводились в связи с неблагополучной ситуацией по причине распространения коронавирусной инфекции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дополнительных мер социальной поддержки гражданам, имеющим право на получение материальной помощи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решений Комиссии о предоставлении дополнительных мер социальной поддержки гражданам, проживающим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имеющим право на получение материальной помощи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Проведено 36 заседаний Комиссии по оказанию дополнительных мер социальной поддержки отдельных категорий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итогам заседаний единовременную материальную помощь получили 50 заявителей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Естественный прирост, убыль (-) населения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 свидетельств о праве на получение социальной выплаты на приобретение жилого помещения или создание объекта индивидуального жилищного строительства не менее чем 30 молодым семьям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 молодых семей получили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Территориальным органом Федеральной службы государственной статистики по Республике Коми сведения о демографической ситуации по состоянию на 01.01.2021 года в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представлены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дошкольного образования, в том числе для детей с ОВЗ и детей-инвалидов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Ввод в эксплуатацию объекта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 сад №50 компенсирующего вида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Детский сад №50 компенсирующего вида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введен в эксплуатацию 01.09.2020 года. Официальное открытие дошкольного образовательного учреждения состоялось 21.09.2020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спортивных мероприятий с учетом возрастных групп для ветеранов в рамках календарного плана физкультурных и спортивных мероприятий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не менее 11 % граждан старшего возраста систематическими занятиями физической культурой и спортом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Спортивные мероприятия с учетом возрастных групп для ветеранов в рамках календарного плана физкультурных и спортивных мероприятий не проводились в связи с неблагополучной ситуацией по причине распространения коронавирусной инфекции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Вовлечение граждан старшего возраста в культурную жизнь общества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не менее 3 % граждан старшего поколения массовыми мероприятиями, организованными учреждениями культуры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Культурно-массовые мероприятия с учетом возрастных групп  не проводились в связи с неблагополучной ситуацией по причине распространения коронавирусной инфекции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471FB6">
        <w:trPr>
          <w:trHeight w:val="603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Миграционный прирост, убыль (-) населения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-618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дополнительных мер социальной поддержки гражданам, имеющим право на получение материальной помощи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решений Комиссии о предоставлении дополнительных мер социальной поддержки гражданам, проживающим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имеющим право на получение материальной помощи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Проведено 36 заседаний Комиссии по оказанию дополнительных мер социальной поддержки отдельных категорий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итогам заседаний единовременную материальную помощь получили 50 заявителей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Территориальным органом Федеральной службы государственной статистики по Республике Коми сведения о демографической ситуации по состоянию на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01.01.2021 года в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представлены</w:t>
            </w:r>
          </w:p>
        </w:tc>
      </w:tr>
      <w:tr w:rsidR="00B22455" w:rsidRPr="00B22455" w:rsidTr="00B22455">
        <w:trPr>
          <w:trHeight w:val="163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гражданам в поиске подходящей работы, в том числе временной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Сохранение ситуации на рынке труда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стабильной и управляемой, не превышение установленного значения уровня регистрируемой безработицы 0,5 %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регистрируемой безработицы составил 1,19 %.  Неблагополучная ситуация по причине распространения коронавирусной инфекции оказала влияние на рынок труда в структуре спроса и предложения на труд, условия труда.  Ситуация временная, и улучшение эпидемической ситуации, приведет к нормализации обстановки, что уже наблюдалось в конце 2020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Общий прирост, убыль (-) населения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-603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дополнительных мер социальной поддержки гражданам, имеющим право на получение материальной помощи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решений Комиссии о предоставлении дополнительных мер социальной поддержки гражданам, проживающим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имеющим право на получение материальной помощи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Проведено 36 заседаний Комиссии по оказанию дополнительных мер социальной поддержки отдельных категорий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итогам заседаний единовременную материальную помощь получили 50 заявителей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Территориальным органом Федеральной службы государственной статистики по Республике Коми сведения о демографической ситуации по состоянию на 01.01.2021 года в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представлены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 свидетельств о праве на получение социальной выплаты на приобретение жилого помещения или создание объекта индивидуального жилищного строительства не менее чем 30 молодым семьям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 молодых семей получили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471FB6">
        <w:trPr>
          <w:trHeight w:val="32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Обеспеченность амбулаторно-поликлиническими учреждениями на 10 тыс. человек населения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посещений в смену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активной работы по приглашению молодых специалистов медицинских ВУЗов, врачей через СМИ, центры занятости других регионов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фактической обеспеченности врачами в учреждениях здравоохранения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чем на 4 % к уровню 2019 года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Обеспеченность врачами в учреждениях здравоохранения за отчетный год составила 36,9 человек на 10000 человек населения, что ниже показателя за 2019 год на 0,4%. Продолжается активная работа по приглашению молодых специалистов медицинских ВУЗов, врачей через СМИ и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центры занятости населения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качества оказания медицинской помощи населению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удовлетворенности населения качеством услуг в учреждениях здравоохранения на  уровне 82,8 %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удовлетворенности населения качеством услуг в учреждениях здравоохранения составил 89,5 %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Обеспеченность врачами (физические лица) в учреждениях здравоохранения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 на 10000 человек населения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активной работы по приглашению молодых специалистов медицинских ВУЗов, врачей через СМИ, центры занятости других регионов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фактической обеспеченности врачами в учреждениях здравоохранения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чем на 4 % к уровню 2019 года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Обеспеченность врачами в учреждениях здравоохранения за отчетный год составила 36,9 человек на 10000 человек населения, что ниже показателя за 2019 год на 0,4%. Продолжается активная работа по приглашению молодых специалистов медицинских ВУЗов, врачей через СМИ и центры занятости населения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удовлетворенности населения качеством услуг в учреждениях здравоохранения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 от числа опрошенных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качества оказания медицинской помощи населению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удовлетворенности населения качеством услуг в учреждениях здравоохранения на  уровне 82,8 %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удовлетворенности населения качеством услуг в учреждениях здравоохранения составил 89,5 %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Среднемесячная номинальная начисленная заработная плата работников (без субъектов малого предпринимательства)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64008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70630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Мониторинг ликвидации задолженности по выплате заработной платы работников предприятий и организаций города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Еженедельное предоставление информации о задолженности по выплате заработной платы работников предприятий и организаций города в Министерство труда, занятости и социальной защиты Республики Коми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задолженности по выплате заработной платы работникам предприятий и организаций города еженедельно направлялась в Министерство труда, занятости и социальной защиты Республики Коми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63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участие в заседаниях Межведомственной комиссии при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не менее 1 заседания Межведомственной комиссии при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Проведено 1 заседание межведомственной комиссии при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ликвидации задолженности по выплате заработной платы, уплате страховых взносов на обязательное пенсионное страхование и налоговым платежам в бюджет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Информация о  работе Межведомственной комиссии  предоставлена в Министерство труда, занятости и социальной защиты Республики Коми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63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Уровень безработицы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Государственным учреждением Республики Коми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занятости населения города Ухты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ярмарок вакансий, подбора работодателям необходимых работников по заявкам, сбор вакансий и привлечения работодателей к участию в мероприятиях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Сохранение ситуации на рынке труда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стабильной и управляемой, не превышение установленного значения уровня регистрируемой безработицы 0,5 %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регистрируемой безработицы составил 1,19 %.  Неблагополучная ситуация по причине распространения коронавирусной инфекции оказала влияние на рынок труда в структуре спроса и предложения на труд, условия труда.  Ситуация временная, и улучшение эпидемической ситуации, приведет к нормализации обстановки, что уже наблюдалось в конце 2020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Мониторинг социально-экономического развития муниципального образования по показателям: численность зарегистрированных безработных граждан, заявленная работодателями потребность в работниках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актуальной информации об уровне безработицы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сайте https://komitrud.rkomi.ru/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Информация о положении на рынке труда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ежемесячно размещается  на сайте https://komitrud.rkomi.ru/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63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Коэффициент напряженности на рынке труда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Государственным учреждением Республики Коми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занятости населения города Ухты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ярмарок вакансий, подбора работодателям необходимых работников по заявкам, сбор вакансий и привлечения работодателей к участию в мероприятиях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Сохранение ситуации на рынке труда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стабильной и управляемой, не превышение установленного значения уровня регистрируемой безработицы 0,5 %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регистрируемой безработицы составил 1,19 %.  Неблагополучная ситуация по причине распространения коронавирусной инфекции оказала влияние на рынок труда в структуре спроса и предложения на труд, условия труда.  Ситуация временная, и улучшение эпидемической ситуации, приведет к нормализации обстановки, что уже наблюдалось в конце 2020 года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Мониторинг социально-экономического развития муниципального образования по показателям: численность зарегистрированных безработных граждан, заявленная работодателями потребность в работниках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актуальной информации об уровне безработицы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сайте https://komitrud.rkomi.ru/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Актуальной информации об уровне безработицы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сайте https://komitrud.rkomi.ru/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Доля граждан, получивших дополнительные меры социальной поддержки, от общего количества обратившихся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дополнительных мер социальной поддержки гражданам, имеющим право на получение материальной помощи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решений Комиссии о предоставлении дополнительных мер социальной поддержки гражданам, проживающим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имеющим право на получение материальной помощи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Проведено 36 заседаний Комиссии по оказанию дополнительных мер социальной поддержки отдельных категорий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итогам заседаний единовременную материальную помощь получили 50 заявителей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2.4. Направление решения задачи: Совершенствование системы физической культуры и спорта, направленной на укрепление здоровья, улучшение качества жизни населения и развитие массового спорта</w:t>
            </w:r>
          </w:p>
        </w:tc>
      </w:tr>
      <w:tr w:rsidR="00B22455" w:rsidRPr="00B22455" w:rsidTr="00B22455">
        <w:trPr>
          <w:trHeight w:val="3060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Обеспеченность спортивными сооружениями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(текущий) ремонт физкультурно-спортивных сооружений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(текущему) ремонту не менее 1 физкультурно-спортивного сооружения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Завершены работы по обшивке витражей большой ванны плавательного бассейна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г. Ухте; получена готовая проектная документация по объекту: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объекта: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Спортивный комплекс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Нефтяник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прошедшая государственную экспертизу; осуществлен ремонт: помещения МУ СК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Спарта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адресу: пгт. Водный, ул. Гагарина, д.30; внутренних помещений спортивного комплекса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Нефтяник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расположенного по адресу: г. Ухта, ул. Мира, д.3А; фасада крытого катка (металлического ангара), расположенного в Детском парке г. Ухта; осуществлена замена: окон крытого катка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Спортивная школа № 1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спортивного ограждения мини-футбольного поля в Детском парке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Спортивная школа № 1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и модернизация материально-технической базы физкультурно-спортивных учреждений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Приведение в соответствие с нормативными требованиями безопасности, санитарными и противопожарными нормативами материально-технического состояние не менее 2 физкультурно-спортивных учреждений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Приведено в соответствие с нормативными требованиями безопасности, санитарными и противопожарными нормативами материально-техническое состояние 2 физкультурно-спортивных учреждений (МУ СШ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МАУ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ЛДС им. С. Капустина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Оказание муниципальных услуг (выполнение работ) физкультурно-спортивными учреждениями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 в полном объеме муниципальное задание 8 подведомственными учреждениями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физической культуры и спорта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Выполнено  в полном объеме муниципальное задание 8 подведомственными учреждениями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физической культуры и спорта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народных проектов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не менее 1 народного проекта в сфере физической культуры и спорта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363996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Реализован  1 народный проект в сфере физической культуры и спорта на территории МОГО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(обустроена и оборудована спортивная площадка для подготовки и выполнения норм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комплекса ГТО,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Спорткомплекс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Шахтер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пгт Ярега, ул. Советская, д. 29а)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инвалидов и лиц с ограниченными возможностями здоровья,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с участием инвалидов различных категорий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 100%  мероприятий с участием инвалидов различных категорий, включенных в Календарный план официальных физкультурных мероприятий и спортивных мероприятий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установленные сроки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363996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с участием инвалидов различных категорий не проводились в связи с неблагополучной ситуацией по причине распростран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ения коронавирусной инфекции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системы муниципального управления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 Задача Стратегии: Повышение экономической эффективности и качества управления совокупностью ресурсов системы муниципального управления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3.1. Направление решения задачи: Совершенствование системы муниципального управления в городском округе 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удовлетворенности деятельностью органов местного самоуправления муниципального образования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открытости информации о деятельности органов местного самоуправления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удовлетворенности населения деятельностью органов местного самоуправления муниципального образования на уровне 42 %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Удовлетворенность населения деятельностью органов местного самоуправления муниципального образования увеличилась на 34,8% по сравнению с 2019 годом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Данные об уровне  удовлетворенности населения деятельностью органов местного самоуправления предоставлены  Управлением государственной гражданской службы Администрации Главы Республики Коми (на основе социологического опроса населения)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 за соблюдением отраслевыми (функциональными) органами, структурными подразделениями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порядка предоставления муниципальных услуг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плана проверок по соблюдению отраслевыми (функциональными) органами, структурными подразделениями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порядка предоставления муниципальных услуг в полном объеме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 проверок по соблюдению отраслевыми (функциональными) органами, структурными подразделениями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порядка предоставления муниципальных услуг выполнен в полном объеме, выявленные нарушения при оказании муниципальных услуг отсутствуют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652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электронного документооборота между отраслевыми (функциональными) органами, структурными подразделениями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общем объеме документооборота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межведомственного электронного взаимодействия органов местного самоуправления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отраслевых (функциональных) органами, структурных подразделений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Поддержание постоянно действующего доступа органов местного самоуправления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отраслевых (функциональных) органами, структурных подразделений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информационным системам межведомственного электронного взаимодействия органов исполнительной власти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Обеспечено поддержание постоянно действующего доступа органов местного самоуправления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отраслевых (функциональных) органами, структурных подразделений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информационным системам межведомственного электронного взаимодействия органов исполнительной власти. К мультисервисной корпоративной сети передачи данных, обеспечивающей доступ к системе электронного документооборота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подключены все отраслевые (функциональные) органы, структурные подразделения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306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Количество посещений гражданами Официального портала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единиц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Официального портала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Усовершенствование информационной модели Официального портала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Официальном портале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разработаны и добавлены новые разделы: раздел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лет Победе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Портале; форма сбора информации для формирования предложений по минимизации негативных последствий, связанных с эпидемиологической обстановкой для предприятий торговли непродовольственными товарами и в сфере агропромышленного комплекса, форма включения в состав перечня предприятий, которым разрешена деятельность на период действия ограничительных мер; виджет платформы обратной связи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единого портала Госуслуг.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по заявкам отраслевых (функциональных) органов, структурных подразделений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размещены  в полной объеме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Уровень удовлетворенности населения, проживающего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качеством предоставления государственных и муниципальных услуг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Перевод  муниципальных услуг, входящих в сводный перечень первоочередных муниципальных услуг, предоставляемых администрацией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 электронном виде, а также услуг, предоставляемых в электронном виде муниципальными учреждениями и организациями, в электронную форму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 доли  оказанных муниципальных услуг в электронном виде не менее чем на 2% по сравнению с 2019 годом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Увеличена доля оказанных муниципальных услуг в электронном виде на 11,2%  по сравнению с 2019 годом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 за соблюдением отраслевыми (функциональными) органами, структурными подразделениями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порядка предоставления муниципальных услуг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плана проверок по соблюдению отраслевыми (функциональными) органами, структурными подразделениями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порядка предоставления муниципальных услуг в полном объеме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 проверок по соблюдению отраслевыми (функциональными) органами, структурными подразделениями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порядка предоставления муниципальных услуг выполнен в полном объеме, выявленные нарушения при оказании муниципальных услуг отсутствуют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граждан, проживающих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использующих механизм получения государственных и муниципальных услуг в электронной форме, от общего количества обратившихся граждан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Перевод муниципальных услуг, входящих в сводный перечень первоочередных муниципальных услуг, предоставляемых администрацией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 электронном виде, а также услуг, предоставляемых в электронном виде муниципальными учреждениями и организациями, в электронную форму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 доли  оказанных муниципальных услуг в электронном виде не менее чем на 2% по сравнению с 2019 годом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Увеличена доля оказанных муниципальных услуг в электронном виде на 11,2%  по сравнению с 2019 годом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показателя не достигло планового значения, т.к. не осуществлена интеграция республиканским порталом Госуслуг и Единым Порталом Госуслуг. Для определения значения использованы статистические данные, информация, размещенная в ГАС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специалистов, прошедших профессиональную подготовку и повышение квалификации за счет средств местного бюджета, от общей численности специалистов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непрерывного профессионального образования и развития специалистов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 обучения  25 специалистов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программам профессионального образования и развития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Прошли обучение по программам профессионального образования и развития  26 специалистов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проведенных семинаров, тренингов,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развитию управленческих компетенций для специалистов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и проведение семинаров, тренингов,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развитию управленческих компетенций для специалистов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Участие в семинарах, тренингах или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круглых столах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каждого специалиста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не менее 1 раза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 отчетный год проведено 5 семинаров. Охват участников семинаров составил 130 специалистов   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Налоговые и неналоговые доходы бюджета муниципального </w:t>
            </w: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образования (за исключением поступлений налоговых доходов по дополнительным нормативам отчислений) в расчете на одного жителя муниципального образования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тыс. руб.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комплексного плана мероприятий по мобилизации налоговых и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неналоговых доходов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утвержденного постановлением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поступлений налоговых и неналоговых доходов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расчете на одного жителя муниципального образования на 0,8 %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Поступления налоговых и неналоговых доходов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расчете на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одного жителя муниципального образования увеличились на 0,8 %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Актуализация перечня муниципального имущества посредством постоянного обновления автоматизированной системы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 и управление объектами государственной собственности РК и муниципальной собственности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(АСУС)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актуальной информации о муниципальном имуществе, находящемся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автоматизированной системе (АСУС)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Актуальная информация о муниципальном имуществе, находящемся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размещена в автоматизированной системе (АСУС)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служащих, замещающих должности муниципальной службы в городских округах (муниципальных районах) в Республике Коми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утвержденных постановлением Правительства Республики Коми от 10.11.2014 № 439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превышение норматива формирования расходов на оплату труда выборных должностных лиц органов  местного самоуправления, осуществляющих свои полномочия на постоянной основе, и муниципальных служащих, замещающих должности муниципальной службы в МОГО 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Норматив формирования расходов на оплату труда выборных должностных лиц органов местного самоуправления, осуществляющих свои полномочия на постоянной основе, и муниципальных служащих, замещающих должности муниципальной службы в МОГО 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 превышает установленный норматив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инструментов эффективного управления муниципальными финансами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 расходов бюджета муниципального образования на содержание работников органов местного самоуправления в расчете на одного жителя муниципального образования, на уровне 1,4 тыс. рублей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больше планового значения на 0,3 тыс. рублей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показателя увеличилось в связи с сокращением численности населения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изменением системы оплаты труда, индексацией заработной платы работников с 01.10.2020 на 3 %</w:t>
            </w:r>
          </w:p>
        </w:tc>
      </w:tr>
      <w:tr w:rsidR="00B22455" w:rsidRPr="00B22455" w:rsidTr="00B22455">
        <w:trPr>
          <w:trHeight w:val="285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Удельный вес расходов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представленных в виде муниципальных программ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Актуализация муниципальных правовых актов по вопросам разработки и реализации муниципальных программ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актуализированных муниципальных правовых актов по вопросам разработки и реализации муниципальных программ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вопросам разработки и реализации муниципальных программ разработаны и утверждены муниципальные правовые акты: 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постановление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04.08.2020 № 1961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 утверждении методических указаний по разработке и реализации муниципальных программ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постановление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03.09.2020 № 2348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 утверждении перечня муниципальных программ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- постановление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07.09.2020 № 2368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муниципальных программах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Формирование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основе муниципальных программ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Сохранение удельного веса расходов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представленных в виде муниципальных программ, на уровне 91,4%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Удельный вес расходов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представленных в виде муниципальных программ, составляет 93,8%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632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Отношение дефицита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доходам без учета утвержденного объема безвозмездных поступлений и поступлений налоговых доходов по дополнительным нормативам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Минимизация расходов на обслуживание муниципального долга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Достижение экономии по расходам на обслуживание муниципального долга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Экономия по расходам на обслуживание муниципального долга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получена. В 2020 году экономия по расходам на обслуживание муниципального долга от первоначального решения Совета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12 декабря 2019 года № 386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бюджете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2020 год и плановый период 2021 и 2022 годов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составила 25 594 126 руб. 43 коп.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Дефицит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составил 104 951,99 тыс. руб. или 4,1% и соответствует ограничениям установленным пунктом 3 статьи 92.1 Бюджетного кодекса Российской Федерации (10%)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Отношение объема муниципального долга к доходам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 учета утвержденного объема безвозмездных поступлений и поступлений налоговых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доходов по дополнительным нормативам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Отсутствие просроченной задолженности по долговым обязательствам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Просроченная задолженность по долговым обязательствам отсутствует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Погашение долговых обязательств согласно заключенным договорам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Исполнение своевременно и в полном объеме обязательств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соответствии с заключенными договорами и соглашениями 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Долговые обязательства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исполнялись своевременно и в полном объеме, в соответствии с заключенными договорами и соглашениями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204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Удельный вес приватизированных объектов недвижимости, находящихся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от общего количества объектов недвижимости, находящихся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включенных в Прогнозный план приватизации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работы в рамках прогнозного плана приватизации муниципального имущества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2020 год и плановый период 2021-2022 годов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Приватизация не менее 14 объектов муниципального имущества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Приватизировано 2 объекта недвижимости, в связи с низким уровнем спроса на муниципальную собственность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удельного веса приватизированных объектов недвижимости, находящихся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от общего количества объектов недвижимости, находящихся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включённых в Прогнозный план приватизации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 достиг планового значения на 53,7 % в связи с отсутствием спроса у предпринимателей и коммерческих организаций на объекты, предлагаемые к приватизации</w:t>
            </w:r>
          </w:p>
        </w:tc>
      </w:tr>
      <w:tr w:rsidR="00B22455" w:rsidRPr="00B22455" w:rsidTr="00B22455">
        <w:trPr>
          <w:trHeight w:val="2856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Доходы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полученные от использования имущества, находящегося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млн. руб.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Привлечение хозяйствующих субъектов к участию в арендных отношениях путем повышения доступности к информации об аренде муниципального имущества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Размещение актуального перечня муниципального имущества,  предлагаемого в пользование, на сайте Комитета по управлению муниципальным имуществом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Актуальный перечень свободных земельных участков, расположенных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размещен на сайте Комитета по управлению муниципальным имуществом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www.kumi.mouhta.ru в разделе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http://kumi.mouhta.ru/spisok-svobodnykh-obektov/zemelnye-uchastki.php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Доходы бюджета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полученные от использования имущества, находящегося в муниципальной собственности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не достигли планового значения на 69,5 млн. руб., в связи с низким спросом на муниципальную собственность, т.к. требуется проведение ремонтных работ для 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увеличения экономической привлекательности объектов, низкой платежеспособности арендаторов, в связи с введением режима повышенной готовности, предоставление отсрочки и освобождения по арендным платежам с целью поддержки субъектов малого и среднего предпринимательства в период пандемии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Обеспечение безопасности жизнедеятельности населения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 Задача Стратегии: Содействие  в обеспечении безопасности населения и объектов на территории городского округа</w:t>
            </w:r>
          </w:p>
        </w:tc>
      </w:tr>
      <w:tr w:rsidR="00B22455" w:rsidRPr="00B22455" w:rsidTr="00B22455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4.1. Направление решения задачи: Содействие повышению уровня безопасности жизнедеятельности населения  в городском округе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преступности (количество зарегистрированных преступлений на 100 тыс. человек)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1694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2255,4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решений межведомственной комиссии по профилактике правонарушений при Главе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руководителе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итогам заседаний  принято 16 решений межведомственной комиссии по профилактике правонарушений при главе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руководителе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зарегистрированных преступлений на 100 тыс. человек увеличилось на 234,4 единицы по сравнению с 2019 годом, в связи с увеличением преступлений  с использованием  информационно-телекоммунационных технологий экономической направленности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терроризма и экстремизма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Отсутствие зарегистрированных преступлений террористической и экстремистской направленности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2020 году ОМВД России по г. Ухте возбуждено 1 уголовное дело экстремистской направленности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020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Уровень обеспечения материального резерва для ликвидации чрезвычайных ситуаций и в интересах гражданской обороны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выполнения комплекса мер гражданской обороны, предупреждение чрезвычайных ситуаций, пожарной безопасности и безопасности на водных объектах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плана основных мероприятий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вопросам гражданской обороны, предупреждения чрезвычайных ситуаций, пожарной безопасности и безопасности на водных объектах в полном объеме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План основных мероприятий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вопросам гражданской обороны, предупреждения чрезвычайных ситуаций, пожарной безопасности и безопасности на водных объектах выполнен в полном объеме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дорожно-транспортных происшествий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обустройства и содержания технических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 с сопутствующими неудовлетворительными дорожными условиями не менее чем на 3 единицы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дорожно-транспортных происшествий с сопутствующими неудовлетворительными дорожными условиями снизилось на 81 единицу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Обследование технического состояния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не менее 1 комиссионного осмотра технического состояния искусственных дорожных неровностей, наружного освещения и других технических средств 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Проведено 3 комиссионных осмотра технического состояния искусственных дорожных неровностей, наружного освещения и других технических средств  организации дорожного движения на автомобильных дорогах общего пользования местного значения (по дачным маршрутам)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погибших в дорожно-транспортных происшествиях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обустройства и содержания технических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 с сопутствующими неудовлетворительными дорожными условиями не менее чем на 3 единицы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дорожно-транспортных происшествий с сопутствующими неудовлетворительными дорожными условиями снизилось на 81 единицу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224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Обследование технического состояния средств организации безопасного дорожного движения на автомобильных дорогах общего пользования местного значения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не менее 1 комиссионного осмотра технического состояния искусственных дорожных неровностей, наружного освещения и других технических средств 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Проведено 3 комиссионных осмотра технического состояния искусственных дорожных неровностей, наружного освещения и других технических средств  организации дорожного движения на автомобильных дорогах общего пользования местного значения (по дачным маршрутам)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пожаров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Уход (обновление) противопожарной минерализованной полосы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минерализованных полос от сгораемых материалов  общей площадью не менее  77 475 м. кв.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Проведена очистка минерализованных полос от сгораемых материалов  общей площадью 78 100 м. кв.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не достигло планового значения, основными причинами пожаров являются неосторожное обращение с огнем, нарушение правил устройства, монтажа и эксплуатации электрооборудования, нарушение правил устройства и эксплуатации печей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пожарных водоемов в населенных пунктах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текущего ремонта  не менее 2 систем наружного противопожарного водоснабжения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Текущий ремонт  2 систем наружного противопожарного водоснабжения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проведен, в связи  с отсутствием финансирования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статей, информаций по вопросам безопасности жизнедеятельности населения, размещенных в средствах массовой информации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 по подготовке информационных сообщений по вопросам безопасности жизнедеятельности населения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Размещение ежеквартальной информации по вопросам безопасности жизнедеятельности населения на официальном сайте 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по делам ГО и ЧС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Информация по вопросам безопасности жизнедеятельности населения на официальном сайте 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по делам ГО и ЧС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размещалась ежеквартально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и размещение в средствах массовой информации материалов, памяток по вопросам противодействия терроризму и экстремизму, идеологии терроризма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не менее 4-х публикаций в средствах массовой информации, направленных на противодействие экстремизму и терроризму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Размещены 4 публикации в средствах массовой информации, направленные на противодействие экстремизму и терроризму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428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вес населенных пунктов, имеющих подразделения добровольной пожарной охраны от общего количества населенных пунктов, имеющих потребность в подразделениях добровольной пожарной охраны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материального стимулирования пожарных  добровольной пожарной охраны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выплат материального стимулирования пожарным добровольной пожарной охраны в полном объеме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Материальное стимулирование пожарных добровольной пожарной охраны выплачено в полном объеме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1836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Отсутствие или снижение зафиксированных фактов проявлений ксенофобии, этнической дискриминации, национальной и расовой нетерпимости, и других проявлений негативного отношения к лицам других национальностей и религиозных конфессий на территории муниципального образования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да/нет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встреч с представителями национально-культурных автономий и учащейся молодежью по вопросам профилактики этнической дискриминации, национальной и расовой нетерпимости, и других проявлений негативного отношения к лицам других национальностей и религиозных конфессий на территории муниципального образования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не менее 4-х встреч с представителями национально-культурных автономий и учащейся молодежью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базе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организованы и проведены 4 встречи с представителями национально-культурных автономий и учащейся молодежью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816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Выбросы загрязняющих веществ в атмосферу стационарными источниками загрязнения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т.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Распространение  экологических знаний среди населения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Размещение информации в области экологии на официальном сайте 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жилищно-коммунального хозяйства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4-х заметок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официальном сайте  МУ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жилищно-коммунального хозяйства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размещены 4 статьи о раздельном сборе отходов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природоохранных акций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не менее 3 природоохранных акций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Проведены 5 природоохранных акций, в которых приняло участие 3 159 человек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408"/>
        </w:trPr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ликвидированных мест несанкционированного размещения отходов от общего количества выявленных мест несанкционированного размещения отходов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природоохранных акций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не менее 3 природоохранных акций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Проведены 5 природоохранных акций, в которых приняло участие 3 159 человек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2455" w:rsidRPr="00B22455" w:rsidTr="00B22455">
        <w:trPr>
          <w:trHeight w:val="612"/>
        </w:trPr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55" w:rsidRPr="00B22455" w:rsidRDefault="00B22455" w:rsidP="00B22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 и минимизация антропогенного воздействия на окружающую среду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 года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Ликвидация и рекультивация не менее двух объектов размещения отходов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Ликвидированы и рекультивированы 3 несанкционированные свалки на территории МОГО 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Ухта</w:t>
            </w:r>
            <w:r w:rsidR="00471F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455" w:rsidRPr="00B22455" w:rsidRDefault="00B22455" w:rsidP="00B22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D0864" w:rsidRDefault="003D0864" w:rsidP="00B22455">
      <w:pPr>
        <w:pStyle w:val="Default"/>
        <w:jc w:val="both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</w:t>
      </w:r>
      <w:r w:rsidRPr="00E0605E">
        <w:rPr>
          <w:bCs/>
          <w:sz w:val="26"/>
          <w:szCs w:val="26"/>
        </w:rPr>
        <w:t xml:space="preserve">риложение </w:t>
      </w:r>
      <w:r>
        <w:rPr>
          <w:bCs/>
          <w:sz w:val="26"/>
          <w:szCs w:val="26"/>
        </w:rPr>
        <w:t>2</w:t>
      </w:r>
    </w:p>
    <w:p w:rsidR="003D0864" w:rsidRPr="00306961" w:rsidRDefault="003D0864" w:rsidP="003D0864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306961">
        <w:rPr>
          <w:b/>
          <w:sz w:val="26"/>
          <w:szCs w:val="26"/>
        </w:rPr>
        <w:t>Реализация мероприятий, направленных на поддержку малого и среднего предпринимательства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70"/>
        <w:gridCol w:w="567"/>
        <w:gridCol w:w="707"/>
        <w:gridCol w:w="848"/>
        <w:gridCol w:w="570"/>
        <w:gridCol w:w="563"/>
        <w:gridCol w:w="711"/>
        <w:gridCol w:w="852"/>
        <w:gridCol w:w="576"/>
        <w:gridCol w:w="1133"/>
        <w:gridCol w:w="992"/>
        <w:gridCol w:w="1136"/>
        <w:gridCol w:w="996"/>
        <w:gridCol w:w="3354"/>
      </w:tblGrid>
      <w:tr w:rsidR="00471FB6" w:rsidRPr="00471FB6" w:rsidTr="00471FB6">
        <w:trPr>
          <w:trHeight w:val="1260"/>
          <w:tblHeader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Основные мероприятия, направленные на развитие и поддержку малого и среднего предпринимательства</w:t>
            </w:r>
          </w:p>
        </w:tc>
        <w:tc>
          <w:tcPr>
            <w:tcW w:w="8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Запланированный объем финансирования мероприятий, тыс. руб., в том числе за счет:</w:t>
            </w:r>
          </w:p>
        </w:tc>
        <w:tc>
          <w:tcPr>
            <w:tcW w:w="8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Фактический объем финансирования мероприятий, тыс. руб., в том числе за счет: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субъектов малого и среднего бизнеса, которым оказана государственная (муниципальная) поддержка, единиц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вновь созданных постоян- ных и времен- ных рабочих мест, единиц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субъектов малого и среднего бизнеса, которые прошли программы обучения по открытию собственно-го дела, переквали-фикации, менеджмен-ту в малом бизнесе, единиц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вновь зарегистрированных ИП, предпри-ятий малого бизнеса, единиц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Характеристика проведённой работы</w:t>
            </w:r>
          </w:p>
        </w:tc>
      </w:tr>
      <w:tr w:rsidR="00471FB6" w:rsidRPr="00471FB6" w:rsidTr="00471FB6">
        <w:trPr>
          <w:trHeight w:val="1260"/>
          <w:tblHeader/>
        </w:trPr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</w:t>
            </w: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71FB6" w:rsidRPr="00471FB6" w:rsidTr="00471FB6">
        <w:trPr>
          <w:trHeight w:val="288"/>
          <w:tblHeader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471FB6" w:rsidRPr="00471FB6" w:rsidTr="00471FB6">
        <w:trPr>
          <w:trHeight w:val="1224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Оказание имущественной поддержки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Оказана имущественная поддержка 13 субъектам малого и среднего предпринимательства (далее – МСП) в виде передачи в пользование имущества, включенного в перечень муниципального имущества МОГО «Ухта», свободного от прав третьих лиц (за исключением имущественных прав субъектов МСП), в целях предоставления его на долгосрочной основе во владение и (или) пользование субъектам МСП, в том числе были заключены 2 краткосрочных договора аренды</w:t>
            </w:r>
          </w:p>
        </w:tc>
      </w:tr>
      <w:tr w:rsidR="00471FB6" w:rsidRPr="00471FB6" w:rsidTr="00471FB6">
        <w:trPr>
          <w:trHeight w:val="612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Оказание финансовой поддержки, из них по направлениям софинансирования муниципальных программ: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71FB6" w:rsidRPr="00471FB6" w:rsidTr="00471FB6">
        <w:trPr>
          <w:trHeight w:val="612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субсидирование части затрат на уплату лизинговых платежей по договорам финансовой аренды (лизинга)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Оказана финансовая поддержка в виде субсидирования части затрат на уплату лизинговых платежей по договорам финансовой аренды (лизинга)  одному субъекту малого и среднего предпринимательству ИП Ильяковой Е.В.</w:t>
            </w:r>
          </w:p>
        </w:tc>
      </w:tr>
      <w:tr w:rsidR="00363996" w:rsidRPr="00471FB6" w:rsidTr="00363996">
        <w:trPr>
          <w:trHeight w:val="408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субсидирование части расходов связанных с началом предпринимательской деятельности (гранты)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3996" w:rsidRPr="00471FB6" w:rsidTr="00363996">
        <w:trPr>
          <w:trHeight w:val="408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субсидирование части затрат на уплату процентов по кредитам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Default="00363996" w:rsidP="00363996">
            <w:pPr>
              <w:jc w:val="center"/>
            </w:pPr>
            <w:r w:rsidRPr="00FF2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6" w:rsidRPr="00471FB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71FB6" w:rsidRPr="00471FB6" w:rsidTr="00471FB6">
        <w:trPr>
          <w:trHeight w:val="1224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субсидирование части расходов на приобретение оборудования в целях создания и (или) модернизации производства товаров (работ, услуг) 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Предоставлена финансовая поддержка в виде субсидирования части расходов на приобретение оборудования в целях создания и (или) модернизации производства товаров (работ, услуг)  5 субъектам малого и среднего предпринимательства: ООО Племхоз «Изваильский-97», ИП Швецов С.А., Главе ЛПХ Рудницкий С.В., ООО Центр профилактической медицины «Ультрамед+», ООО Центр профилактической медицины «Ультрамед»</w:t>
            </w:r>
          </w:p>
        </w:tc>
      </w:tr>
      <w:tr w:rsidR="00471FB6" w:rsidRPr="00471FB6" w:rsidTr="00471FB6">
        <w:trPr>
          <w:trHeight w:val="408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субсидирование части расходов на реализацию народных проектов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Предоставлена финансовая поддержка в виде субсидирования части расходов на реализацию народного проекта ООО «Лесторг»</w:t>
            </w:r>
          </w:p>
        </w:tc>
      </w:tr>
      <w:tr w:rsidR="00471FB6" w:rsidRPr="00471FB6" w:rsidTr="00471FB6">
        <w:trPr>
          <w:trHeight w:val="408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виды финансовой поддержки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Предоставлена субсидия на финансовое обеспечение части затрат по приобретению кормов для животных в период введения режима повышенной готовности  ИП Матющенко Ю.И.</w:t>
            </w:r>
          </w:p>
        </w:tc>
      </w:tr>
      <w:tr w:rsidR="00471FB6" w:rsidRPr="00471FB6" w:rsidTr="00471FB6">
        <w:trPr>
          <w:trHeight w:val="1632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Привлечение граждан, общественных объединений к обсуждению нормативных правовых актов, вопросов, касающихся ведения предпринимательской деятельности, а также работа Координационного совета и Совета руководителей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обсуждению проектов нормативно-правовых актов МОГО «Ухта», подлежащих оценке регулирующего воздействия, привлечены: общественные организации, образующие инфраструктуру поддержки малого и среднего бизнеса в МОГО «Ухта», индивидуальные предприниматели, депутаты Совета МОГО «Ухта» и помощник уполномоченного по защите прав предпринимателей в Республике Коми по МОГО «Ухта». Проекты нормативно-правовых актов МОГО «Ухта» также обсуждались на  2 заседаниях Координационного совета по малому и среднему предпринимательству при Главе МОГО «Ухта» - руководителе администрации МОГО «Ухта»</w:t>
            </w:r>
          </w:p>
        </w:tc>
      </w:tr>
      <w:tr w:rsidR="00471FB6" w:rsidRPr="00471FB6" w:rsidTr="00471FB6">
        <w:trPr>
          <w:trHeight w:val="816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 Повышение эффективности деятельности организаций, образующих инфраструктуру поддержки малого и среднего предпринимательства, внедрение на базе МФЦ точек консультирования предпринимателей: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471FB6" w:rsidRPr="00471FB6" w:rsidTr="00471FB6">
        <w:trPr>
          <w:trHeight w:val="612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кадровая поддержка (обучение)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Организованы и проведены для субъектов МСП и их работников 5 обучающих программ, 3 совещания и 28 онлайн семинаров, направленных на обучение основам ведения бизнеса, финансовой грамотности и иным навыкам предпринимательской деятельности</w:t>
            </w:r>
          </w:p>
        </w:tc>
      </w:tr>
      <w:tr w:rsidR="00471FB6" w:rsidRPr="00471FB6" w:rsidTr="00471FB6">
        <w:trPr>
          <w:trHeight w:val="816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поддержка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целью оказания информационно-консультационной поддержки субъектам малого и среднего предпринимательства использованы четыре официальных источника доведения информации: Официальный портал администрации МОГО «Ухта», социальная сеть «ВКонтакте» «Мой бизнес Ухта», информационный бюллетень «Город» и газета «Ухта»</w:t>
            </w:r>
          </w:p>
        </w:tc>
      </w:tr>
      <w:tr w:rsidR="00471FB6" w:rsidRPr="00471FB6" w:rsidTr="00471FB6">
        <w:trPr>
          <w:trHeight w:val="1224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эффективное использование сети интернет для поддержки и развития МСП (работа по развитию раздела на официальном сайте администрации)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для субъектов малого и среднего предпринимательства на Официальном портале администрации МОГО «Ухта» размещалась на постоянной основе. В рамках оказания информационной и консультативной поддержки субъектам МСП администрацией МОГО «Ухта» размещено:</w:t>
            </w: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- 88 информационных материалов на Официальном портале администрации МОГО «Ухта»;</w:t>
            </w: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- 5 информационных материалов в информационном бюллетене «Город» </w:t>
            </w:r>
          </w:p>
        </w:tc>
      </w:tr>
      <w:tr w:rsidR="00471FB6" w:rsidRPr="00471FB6" w:rsidTr="00471FB6">
        <w:trPr>
          <w:trHeight w:val="102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 Устранение административных барьеров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Проведена оценка регулирующего воздействия 16 проектов нормативных правовых актов МОГО «Ухта», устанавливающих новые или изменяющих ранее предусмотренные нормативными правовыми актами муниципального образования городского округа «Ухта» обязанности для субъектов предпринимательской и инвестиционной деятельности</w:t>
            </w:r>
          </w:p>
        </w:tc>
      </w:tr>
      <w:tr w:rsidR="00471FB6" w:rsidRPr="00471FB6" w:rsidTr="00471FB6">
        <w:trPr>
          <w:trHeight w:val="1224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Повышение доступа субъектов малого и среднего предпринимательства к государственным и муниципальным закупкам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Организована и проведена образовательная программа с выдачей сертификатов на тему «Школа предпринимателей - поставщиков государственных и муниципальных нужд». Для информирования субъектов МСП были использованы четыре официальных источника доведения информации: Официальный портал администрации МОГО «Ухта», социальная сеть «ВКонтакте» «Мой бизнес Ухта», информационный бюллетень «Город» и газета «Ухта»</w:t>
            </w:r>
          </w:p>
        </w:tc>
      </w:tr>
      <w:tr w:rsidR="00471FB6" w:rsidRPr="00471FB6" w:rsidTr="00471FB6">
        <w:trPr>
          <w:trHeight w:val="612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Организация эффективного взаимодействия с Федеральной корпорацией по развитию малого и среднего предпринимательства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471FB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B6" w:rsidRPr="00471FB6" w:rsidRDefault="00471FB6" w:rsidP="0047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F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программах АО «Корпорации «МСП» размещена на Официальном портале администрации МОГО "Ухта" https://mouhta.ru/directions/business/predprin</w:t>
            </w:r>
          </w:p>
        </w:tc>
      </w:tr>
      <w:tr w:rsidR="00471FB6" w:rsidRPr="00363996" w:rsidTr="00471FB6">
        <w:trPr>
          <w:trHeight w:val="288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FB6" w:rsidRPr="00363996" w:rsidRDefault="00471FB6" w:rsidP="0047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ИТОГО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471FB6" w:rsidP="003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1317,0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1317,0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36399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FB6" w:rsidRPr="00363996" w:rsidRDefault="00471FB6" w:rsidP="0047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39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</w:tr>
    </w:tbl>
    <w:p w:rsidR="003D0864" w:rsidRDefault="003D0864" w:rsidP="003D0864">
      <w:pPr>
        <w:pStyle w:val="Default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right"/>
        <w:rPr>
          <w:bCs/>
          <w:sz w:val="26"/>
          <w:szCs w:val="26"/>
        </w:rPr>
        <w:sectPr w:rsidR="003D0864" w:rsidSect="003D0864">
          <w:pgSz w:w="16838" w:h="11906" w:orient="landscape"/>
          <w:pgMar w:top="567" w:right="395" w:bottom="850" w:left="284" w:header="708" w:footer="708" w:gutter="0"/>
          <w:cols w:space="708"/>
          <w:docGrid w:linePitch="360"/>
        </w:sectPr>
      </w:pPr>
    </w:p>
    <w:p w:rsidR="003D0864" w:rsidRDefault="003D0864" w:rsidP="003D0864">
      <w:pPr>
        <w:pStyle w:val="Default"/>
        <w:spacing w:line="276" w:lineRule="auto"/>
        <w:jc w:val="right"/>
        <w:rPr>
          <w:b/>
          <w:sz w:val="26"/>
          <w:szCs w:val="26"/>
        </w:rPr>
      </w:pPr>
      <w:r w:rsidRPr="008B5235">
        <w:rPr>
          <w:sz w:val="26"/>
          <w:szCs w:val="26"/>
        </w:rPr>
        <w:lastRenderedPageBreak/>
        <w:t>Приложение 3</w:t>
      </w:r>
    </w:p>
    <w:p w:rsidR="003D0864" w:rsidRDefault="003D0864" w:rsidP="003D0864">
      <w:pPr>
        <w:pStyle w:val="Default"/>
        <w:spacing w:line="276" w:lineRule="auto"/>
        <w:jc w:val="center"/>
        <w:rPr>
          <w:b/>
          <w:sz w:val="26"/>
          <w:szCs w:val="26"/>
        </w:rPr>
      </w:pPr>
    </w:p>
    <w:p w:rsidR="003D0864" w:rsidRPr="002313DD" w:rsidRDefault="003D0864" w:rsidP="003D0864">
      <w:pPr>
        <w:pStyle w:val="Default"/>
        <w:spacing w:line="288" w:lineRule="auto"/>
        <w:jc w:val="center"/>
        <w:rPr>
          <w:b/>
          <w:bCs/>
          <w:sz w:val="26"/>
          <w:szCs w:val="26"/>
        </w:rPr>
      </w:pPr>
      <w:r w:rsidRPr="002313DD">
        <w:rPr>
          <w:b/>
          <w:sz w:val="26"/>
          <w:szCs w:val="26"/>
        </w:rPr>
        <w:t>Аналитическая записка</w:t>
      </w:r>
      <w:r w:rsidRPr="002313DD">
        <w:rPr>
          <w:b/>
          <w:bCs/>
          <w:sz w:val="26"/>
          <w:szCs w:val="26"/>
        </w:rPr>
        <w:t xml:space="preserve">  по результатам выполнения плана </w:t>
      </w:r>
    </w:p>
    <w:p w:rsidR="003D0864" w:rsidRPr="002313DD" w:rsidRDefault="003D0864" w:rsidP="003D0864">
      <w:pPr>
        <w:pStyle w:val="Default"/>
        <w:spacing w:line="288" w:lineRule="auto"/>
        <w:jc w:val="center"/>
        <w:rPr>
          <w:b/>
          <w:sz w:val="26"/>
          <w:szCs w:val="26"/>
        </w:rPr>
      </w:pPr>
      <w:r w:rsidRPr="002313DD">
        <w:rPr>
          <w:b/>
          <w:bCs/>
          <w:sz w:val="26"/>
          <w:szCs w:val="26"/>
        </w:rPr>
        <w:t xml:space="preserve">мероприятий по реализации Стратегии </w:t>
      </w:r>
      <w:r w:rsidRPr="002313DD">
        <w:rPr>
          <w:b/>
          <w:sz w:val="26"/>
          <w:szCs w:val="26"/>
        </w:rPr>
        <w:t xml:space="preserve">социально-экономического развития МОГО  </w:t>
      </w:r>
      <w:r w:rsidR="00471FB6">
        <w:rPr>
          <w:b/>
          <w:sz w:val="26"/>
          <w:szCs w:val="26"/>
        </w:rPr>
        <w:t>«</w:t>
      </w:r>
      <w:r w:rsidRPr="002313DD">
        <w:rPr>
          <w:b/>
          <w:sz w:val="26"/>
          <w:szCs w:val="26"/>
        </w:rPr>
        <w:t>Ухта</w:t>
      </w:r>
      <w:r w:rsidR="00471FB6">
        <w:rPr>
          <w:b/>
          <w:sz w:val="26"/>
          <w:szCs w:val="26"/>
        </w:rPr>
        <w:t>»</w:t>
      </w:r>
      <w:r w:rsidRPr="002313D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период до 2020 года </w:t>
      </w:r>
      <w:r w:rsidRPr="002313DD">
        <w:rPr>
          <w:b/>
          <w:bCs/>
          <w:sz w:val="26"/>
          <w:szCs w:val="26"/>
        </w:rPr>
        <w:t>на 20</w:t>
      </w:r>
      <w:r>
        <w:rPr>
          <w:b/>
          <w:bCs/>
          <w:sz w:val="26"/>
          <w:szCs w:val="26"/>
        </w:rPr>
        <w:t>20</w:t>
      </w:r>
      <w:r w:rsidRPr="002313DD">
        <w:rPr>
          <w:b/>
          <w:bCs/>
          <w:sz w:val="26"/>
          <w:szCs w:val="26"/>
        </w:rPr>
        <w:t xml:space="preserve"> год</w:t>
      </w:r>
    </w:p>
    <w:p w:rsidR="003D0864" w:rsidRPr="002313DD" w:rsidRDefault="003D0864" w:rsidP="003D0864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D0864" w:rsidRPr="002313DD" w:rsidRDefault="003D0864" w:rsidP="003D086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3DD">
        <w:rPr>
          <w:rFonts w:ascii="Times New Roman" w:hAnsi="Times New Roman" w:cs="Times New Roman"/>
          <w:sz w:val="26"/>
          <w:szCs w:val="26"/>
        </w:rPr>
        <w:t xml:space="preserve">Решением Совета  муниципального образования городского округа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2313DD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2313DD">
        <w:rPr>
          <w:rFonts w:ascii="Times New Roman" w:hAnsi="Times New Roman" w:cs="Times New Roman"/>
          <w:sz w:val="26"/>
          <w:szCs w:val="26"/>
        </w:rPr>
        <w:t xml:space="preserve"> от 12 декабря 2014 г. № 359 одобрена Стратегия социально-экономического развития муниципального образования городского округа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2313DD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2313DD">
        <w:rPr>
          <w:rFonts w:ascii="Times New Roman" w:hAnsi="Times New Roman" w:cs="Times New Roman"/>
          <w:sz w:val="26"/>
          <w:szCs w:val="26"/>
        </w:rPr>
        <w:t xml:space="preserve"> на период до 2020 года (далее – Стратегия).</w:t>
      </w:r>
    </w:p>
    <w:p w:rsidR="003D0864" w:rsidRPr="002313DD" w:rsidRDefault="003D0864" w:rsidP="003D08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3DD">
        <w:rPr>
          <w:rFonts w:ascii="Times New Roman" w:hAnsi="Times New Roman" w:cs="Times New Roman"/>
          <w:sz w:val="26"/>
          <w:szCs w:val="26"/>
        </w:rPr>
        <w:t xml:space="preserve">В целях обеспечения достижения целей социально-экономического развития муниципального образования городского округа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2313DD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2313DD">
        <w:rPr>
          <w:rFonts w:ascii="Times New Roman" w:hAnsi="Times New Roman" w:cs="Times New Roman"/>
          <w:sz w:val="26"/>
          <w:szCs w:val="26"/>
        </w:rPr>
        <w:t>, определенных Стратегией, в соответствии с Порядком разработки, корректировки, осуществления мониторинга и контроля реализации Стратегии, утвержден План мероприятий по реализации Стратегии на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2313DD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D0864" w:rsidRPr="002313DD" w:rsidRDefault="003D0864" w:rsidP="003D086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3DD">
        <w:rPr>
          <w:rFonts w:ascii="Times New Roman" w:hAnsi="Times New Roman" w:cs="Times New Roman"/>
          <w:sz w:val="26"/>
          <w:szCs w:val="26"/>
        </w:rPr>
        <w:t>Мониторинг хода реализации Стратегии за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2313DD">
        <w:rPr>
          <w:rFonts w:ascii="Times New Roman" w:hAnsi="Times New Roman" w:cs="Times New Roman"/>
          <w:sz w:val="26"/>
          <w:szCs w:val="26"/>
        </w:rPr>
        <w:t xml:space="preserve"> год проведен  по четырем основным блокам:</w:t>
      </w:r>
    </w:p>
    <w:p w:rsidR="003D0864" w:rsidRPr="002313DD" w:rsidRDefault="003D0864" w:rsidP="003D0864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3DD">
        <w:rPr>
          <w:rFonts w:ascii="Times New Roman" w:hAnsi="Times New Roman" w:cs="Times New Roman"/>
          <w:sz w:val="26"/>
          <w:szCs w:val="26"/>
        </w:rPr>
        <w:t>Экономическое развитие;</w:t>
      </w:r>
    </w:p>
    <w:p w:rsidR="003D0864" w:rsidRPr="002313DD" w:rsidRDefault="003D0864" w:rsidP="003D0864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3DD">
        <w:rPr>
          <w:rFonts w:ascii="Times New Roman" w:hAnsi="Times New Roman" w:cs="Times New Roman"/>
          <w:sz w:val="26"/>
          <w:szCs w:val="26"/>
        </w:rPr>
        <w:t>Социальное развитие;</w:t>
      </w:r>
    </w:p>
    <w:p w:rsidR="003D0864" w:rsidRPr="002313DD" w:rsidRDefault="003D0864" w:rsidP="003D0864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3DD">
        <w:rPr>
          <w:rFonts w:ascii="Times New Roman" w:hAnsi="Times New Roman" w:cs="Times New Roman"/>
          <w:sz w:val="26"/>
          <w:szCs w:val="26"/>
        </w:rPr>
        <w:t>Развитие системы муниципального управления;</w:t>
      </w:r>
    </w:p>
    <w:p w:rsidR="003D0864" w:rsidRDefault="003D0864" w:rsidP="003D0864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13DD">
        <w:rPr>
          <w:rFonts w:ascii="Times New Roman" w:hAnsi="Times New Roman" w:cs="Times New Roman"/>
          <w:sz w:val="26"/>
          <w:szCs w:val="26"/>
        </w:rPr>
        <w:t>Обеспечение безопасности жизнедеятельности населения.</w:t>
      </w:r>
    </w:p>
    <w:p w:rsidR="003D0864" w:rsidRDefault="003D0864" w:rsidP="003D0864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864" w:rsidRDefault="000B69EC" w:rsidP="000B69EC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D9A845" wp14:editId="78193FCC">
            <wp:extent cx="6461760" cy="3611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0864" w:rsidRDefault="003D0864" w:rsidP="003D0864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Отдельно проведен анализ мероприятий, направленных на поддержку субъектов малого и среднего предпринимательства (далее – МСП).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В ходе мониторинга Стратегии оценивалось достижение 86 показателей, исполнение 7 основных мероприятий, направленных на поддержку субъектов МСП. 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lastRenderedPageBreak/>
        <w:t xml:space="preserve"> В ходе мониторинга 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 xml:space="preserve">блока 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>Экономическое развитие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Стратегии оценивалось достижение 27 показателей. Результат достижения целевых показателей блока составил </w:t>
      </w:r>
      <w:r w:rsidR="000077ED" w:rsidRPr="007D468E">
        <w:rPr>
          <w:rFonts w:ascii="Times New Roman" w:hAnsi="Times New Roman" w:cs="Times New Roman"/>
          <w:sz w:val="26"/>
          <w:szCs w:val="26"/>
        </w:rPr>
        <w:t>44,4 </w:t>
      </w:r>
      <w:r w:rsidRPr="007D468E">
        <w:rPr>
          <w:rFonts w:ascii="Times New Roman" w:hAnsi="Times New Roman" w:cs="Times New Roman"/>
          <w:sz w:val="26"/>
          <w:szCs w:val="26"/>
        </w:rPr>
        <w:t>%.</w:t>
      </w:r>
    </w:p>
    <w:p w:rsidR="00071054" w:rsidRPr="007D468E" w:rsidRDefault="003D0864" w:rsidP="0036399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В 20</w:t>
      </w:r>
      <w:r w:rsidR="000077ED" w:rsidRPr="007D468E">
        <w:rPr>
          <w:rFonts w:ascii="Times New Roman" w:hAnsi="Times New Roman" w:cs="Times New Roman"/>
          <w:sz w:val="26"/>
          <w:szCs w:val="26"/>
        </w:rPr>
        <w:t>20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году произошло </w:t>
      </w:r>
      <w:r w:rsidR="00543735" w:rsidRPr="007D468E">
        <w:rPr>
          <w:rFonts w:ascii="Times New Roman" w:hAnsi="Times New Roman" w:cs="Times New Roman"/>
          <w:sz w:val="26"/>
          <w:szCs w:val="26"/>
        </w:rPr>
        <w:t>увеличение</w:t>
      </w:r>
      <w:r w:rsidRPr="007D468E">
        <w:rPr>
          <w:rFonts w:ascii="Times New Roman" w:hAnsi="Times New Roman" w:cs="Times New Roman"/>
          <w:sz w:val="26"/>
          <w:szCs w:val="26"/>
        </w:rPr>
        <w:t xml:space="preserve"> объема инвестиций в основной капитал за счет всех источников финансирования по отношению к 201</w:t>
      </w:r>
      <w:r w:rsidR="000077ED" w:rsidRPr="007D468E">
        <w:rPr>
          <w:rFonts w:ascii="Times New Roman" w:hAnsi="Times New Roman" w:cs="Times New Roman"/>
          <w:sz w:val="26"/>
          <w:szCs w:val="26"/>
        </w:rPr>
        <w:t>9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543735" w:rsidRPr="007D468E">
        <w:rPr>
          <w:rFonts w:ascii="Times New Roman" w:hAnsi="Times New Roman" w:cs="Times New Roman"/>
          <w:sz w:val="26"/>
          <w:szCs w:val="26"/>
        </w:rPr>
        <w:t xml:space="preserve">28,0 </w:t>
      </w:r>
      <w:r w:rsidRPr="007D468E">
        <w:rPr>
          <w:rFonts w:ascii="Times New Roman" w:hAnsi="Times New Roman" w:cs="Times New Roman"/>
          <w:sz w:val="26"/>
          <w:szCs w:val="26"/>
        </w:rPr>
        <w:t xml:space="preserve">%. </w:t>
      </w:r>
      <w:r w:rsidR="00FC3FB7" w:rsidRPr="007D468E">
        <w:rPr>
          <w:rFonts w:ascii="Times New Roman" w:hAnsi="Times New Roman" w:cs="Times New Roman"/>
          <w:sz w:val="26"/>
          <w:szCs w:val="26"/>
        </w:rPr>
        <w:t xml:space="preserve">Объем инвестиций в основной капитал (за исключением бюджетных средств) в расчете на 1 жителя по сравнению с 2019 г. увеличился на 29,4 %. Можно предположить, что рост объема инвестиций в основной капитал в 2020 году по сравнению с 2019 годом связан с ростом капиталовложений в трубопроводный транспорт, а также увеличением активности коммерческих организаций 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FC3FB7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FC3FB7" w:rsidRPr="007D468E">
        <w:rPr>
          <w:rFonts w:ascii="Times New Roman" w:hAnsi="Times New Roman" w:cs="Times New Roman"/>
          <w:sz w:val="26"/>
          <w:szCs w:val="26"/>
        </w:rPr>
        <w:t xml:space="preserve"> в направлении инвестиционной деятельности.</w:t>
      </w:r>
      <w:r w:rsidR="00AC4F61" w:rsidRPr="007D468E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071054" w:rsidRPr="007D468E">
        <w:rPr>
          <w:rFonts w:ascii="Times New Roman" w:hAnsi="Times New Roman" w:cs="Times New Roman"/>
          <w:sz w:val="26"/>
          <w:szCs w:val="26"/>
        </w:rPr>
        <w:t xml:space="preserve">формирования информационной базы для предприятий, организаций города, населения  и потенциальных инвесторов  на Официальном портале администрации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071054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071054" w:rsidRPr="007D468E">
        <w:rPr>
          <w:rFonts w:ascii="Times New Roman" w:hAnsi="Times New Roman" w:cs="Times New Roman"/>
          <w:sz w:val="26"/>
          <w:szCs w:val="26"/>
        </w:rPr>
        <w:t xml:space="preserve"> размещен актуализированный инвестиционный паспорт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071054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071054" w:rsidRPr="007D468E">
        <w:rPr>
          <w:rFonts w:ascii="Times New Roman" w:hAnsi="Times New Roman" w:cs="Times New Roman"/>
          <w:sz w:val="26"/>
          <w:szCs w:val="26"/>
        </w:rPr>
        <w:t>, ежеквартально ф</w:t>
      </w:r>
      <w:r w:rsidR="00AC4F61" w:rsidRPr="007D468E">
        <w:rPr>
          <w:rFonts w:ascii="Times New Roman" w:hAnsi="Times New Roman" w:cs="Times New Roman"/>
          <w:sz w:val="26"/>
          <w:szCs w:val="26"/>
        </w:rPr>
        <w:t>ормировались</w:t>
      </w:r>
      <w:r w:rsidR="00071054" w:rsidRPr="007D46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F61" w:rsidRPr="007D468E" w:rsidRDefault="00AC4F61" w:rsidP="007D468E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итоги социально-экономического развития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>;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Количество субъектов МСП в расчете на 1000 человек населения муниципального образования (с учетом микропредприятий) не достигло планового значения. Данные по показателю рассчитываются Комистатом один раз в пять лет на основании данных сплошного наблюдения за деятельностью МСП. Наблюдение проведено за 2015 год, следующее наблюдение будет проводиться за 2020 год в 2022 году. Данные за 20</w:t>
      </w:r>
      <w:r w:rsidR="00AC4F61" w:rsidRPr="007D468E">
        <w:rPr>
          <w:rFonts w:ascii="Times New Roman" w:hAnsi="Times New Roman" w:cs="Times New Roman"/>
          <w:sz w:val="26"/>
          <w:szCs w:val="26"/>
        </w:rPr>
        <w:t>20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 сформированы на основании выборки из единого реестра субъектов МСП Федеральной налоговой службы и предварительно составили </w:t>
      </w:r>
      <w:r w:rsidR="00AC4F61" w:rsidRPr="007D468E">
        <w:rPr>
          <w:rFonts w:ascii="Times New Roman" w:hAnsi="Times New Roman" w:cs="Times New Roman"/>
          <w:sz w:val="26"/>
          <w:szCs w:val="26"/>
        </w:rPr>
        <w:t>35</w:t>
      </w:r>
      <w:r w:rsidRPr="007D468E">
        <w:rPr>
          <w:rFonts w:ascii="Times New Roman" w:hAnsi="Times New Roman" w:cs="Times New Roman"/>
          <w:sz w:val="26"/>
          <w:szCs w:val="26"/>
        </w:rPr>
        <w:t xml:space="preserve"> единиц на 1000 человек населения. С целью развития малого и среднего предпринимательства в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реализовались мероприятия подпрограммы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 xml:space="preserve">Малое и среднее предпринимательство в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Развитие экономики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: </w:t>
      </w:r>
      <w:r w:rsidR="00AC4F61" w:rsidRPr="007D468E">
        <w:rPr>
          <w:rFonts w:ascii="Times New Roman" w:hAnsi="Times New Roman" w:cs="Times New Roman"/>
          <w:sz w:val="26"/>
          <w:szCs w:val="26"/>
        </w:rPr>
        <w:t xml:space="preserve">осуществлялась информационная, консультационная поддержка субъектов малого и среднего предпринимательства; организованы и проведены обучающие семинары по вопросам ведения бизнеса, финансовой грамотности и иным навыкам предпринимательской деятельности; осуществлялась финансовая и имущественная поддержка хозяйствующих субъектов; реализовано и проведено публичное мероприятие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AC4F61" w:rsidRPr="007D468E">
        <w:rPr>
          <w:rFonts w:ascii="Times New Roman" w:hAnsi="Times New Roman" w:cs="Times New Roman"/>
          <w:sz w:val="26"/>
          <w:szCs w:val="26"/>
        </w:rPr>
        <w:t>Всемирная неделя предпринимательства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AC4F61" w:rsidRPr="007D468E">
        <w:rPr>
          <w:rFonts w:ascii="Times New Roman" w:hAnsi="Times New Roman" w:cs="Times New Roman"/>
          <w:sz w:val="26"/>
          <w:szCs w:val="26"/>
        </w:rPr>
        <w:t>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Не достигнуты плановые значения показателей, отражающие предоставление земельных участков под строительство и ввод в действие жилых домов, так как это зависит от финансовой стабильности строительной отрасли, удорожания кредитных ресурсов и сложности их получения застройщиками. Роль муниципалитета сводится к созданию благоприятных условий для инвестиционной деятельности (консультативно-информационная поддержка, выделение земельных участков под строительство, обеспечение возможности подключения к инженерным и транспортным коммуникациям, для жилищного строительства - предоставление инфраструктурно - подготовленных площадок…). 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Не достигнуто плановое значение показателя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>. Отклонение от  планового значения целевого индикатора произошло в связи с изменениями в Земельном  законодательстве, что привело к значительному удорожанию данных работ</w:t>
      </w:r>
      <w:r w:rsidR="008E39E5" w:rsidRPr="007D468E">
        <w:rPr>
          <w:rFonts w:ascii="Times New Roman" w:hAnsi="Times New Roman" w:cs="Times New Roman"/>
          <w:sz w:val="26"/>
          <w:szCs w:val="26"/>
        </w:rPr>
        <w:t>. Работы в данном направлении выполнялись в соответствии с объемами финансирования</w:t>
      </w:r>
      <w:r w:rsidRPr="007D468E">
        <w:rPr>
          <w:rFonts w:ascii="Times New Roman" w:hAnsi="Times New Roman" w:cs="Times New Roman"/>
          <w:sz w:val="26"/>
          <w:szCs w:val="26"/>
        </w:rPr>
        <w:t>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lastRenderedPageBreak/>
        <w:t>Доля протяженности автомобильных дорог общего пользования местного значения,  отвечающих нормативным требованиям, в общей протяженности автомобильных дорог общего пользования местного значения, не достигла планового значения, и составила 54,</w:t>
      </w:r>
      <w:r w:rsidR="008E39E5" w:rsidRPr="007D468E">
        <w:rPr>
          <w:rFonts w:ascii="Times New Roman" w:hAnsi="Times New Roman" w:cs="Times New Roman"/>
          <w:sz w:val="26"/>
          <w:szCs w:val="26"/>
        </w:rPr>
        <w:t xml:space="preserve"> </w:t>
      </w:r>
      <w:r w:rsidRPr="007D468E">
        <w:rPr>
          <w:rFonts w:ascii="Times New Roman" w:hAnsi="Times New Roman" w:cs="Times New Roman"/>
          <w:sz w:val="26"/>
          <w:szCs w:val="26"/>
        </w:rPr>
        <w:t xml:space="preserve">6 %. Это обусловлено,  увеличением общей протяженности автомобильных дорог общего пользования местного значения в связи с включением в  </w:t>
      </w:r>
      <w:r w:rsidR="008E39E5" w:rsidRPr="007D468E">
        <w:rPr>
          <w:rFonts w:ascii="Times New Roman" w:hAnsi="Times New Roman" w:cs="Times New Roman"/>
          <w:sz w:val="26"/>
          <w:szCs w:val="26"/>
        </w:rPr>
        <w:t xml:space="preserve">перечень автомобильных дорог местного значения участка а/д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8E39E5" w:rsidRPr="007D468E">
        <w:rPr>
          <w:rFonts w:ascii="Times New Roman" w:hAnsi="Times New Roman" w:cs="Times New Roman"/>
          <w:sz w:val="26"/>
          <w:szCs w:val="26"/>
        </w:rPr>
        <w:t xml:space="preserve">Бельгопское шоссе от здания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8E39E5" w:rsidRPr="007D468E">
        <w:rPr>
          <w:rFonts w:ascii="Times New Roman" w:hAnsi="Times New Roman" w:cs="Times New Roman"/>
          <w:sz w:val="26"/>
          <w:szCs w:val="26"/>
        </w:rPr>
        <w:t>УЭМЗ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8E39E5" w:rsidRPr="007D468E">
        <w:rPr>
          <w:rFonts w:ascii="Times New Roman" w:hAnsi="Times New Roman" w:cs="Times New Roman"/>
          <w:sz w:val="26"/>
          <w:szCs w:val="26"/>
        </w:rPr>
        <w:t xml:space="preserve"> до перекрестка с ул. Линейная с двумя мостовыми сооружениями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8E39E5" w:rsidRPr="007D468E">
        <w:rPr>
          <w:rFonts w:ascii="Times New Roman" w:hAnsi="Times New Roman" w:cs="Times New Roman"/>
          <w:sz w:val="26"/>
          <w:szCs w:val="26"/>
        </w:rPr>
        <w:t xml:space="preserve">  с покрытием, не отвечающим нормативным требованиям</w:t>
      </w:r>
      <w:r w:rsidRPr="007D468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864" w:rsidRPr="007D468E" w:rsidRDefault="003D0864" w:rsidP="007D468E">
      <w:pPr>
        <w:pStyle w:val="2"/>
        <w:keepNext w:val="0"/>
        <w:keepLines w:val="0"/>
        <w:spacing w:before="0" w:line="288" w:lineRule="auto"/>
        <w:ind w:firstLine="709"/>
        <w:jc w:val="center"/>
        <w:rPr>
          <w:rFonts w:ascii="Times New Roman" w:hAnsi="Times New Roman" w:cs="Times New Roman"/>
          <w:i/>
          <w:color w:val="auto"/>
        </w:rPr>
      </w:pPr>
      <w:bookmarkStart w:id="1" w:name="_Toc491699762"/>
      <w:r w:rsidRPr="007D468E">
        <w:rPr>
          <w:rFonts w:ascii="Times New Roman" w:hAnsi="Times New Roman" w:cs="Times New Roman"/>
          <w:i/>
          <w:color w:val="auto"/>
        </w:rPr>
        <w:t>Поддержка субъектов малого и среднего предпринимательства</w:t>
      </w:r>
      <w:bookmarkEnd w:id="1"/>
    </w:p>
    <w:p w:rsidR="003D0864" w:rsidRPr="007D468E" w:rsidRDefault="003D0864" w:rsidP="007D468E">
      <w:pPr>
        <w:pStyle w:val="2"/>
        <w:keepNext w:val="0"/>
        <w:keepLines w:val="0"/>
        <w:spacing w:before="0" w:line="288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</w:p>
    <w:p w:rsidR="003D0864" w:rsidRPr="007D468E" w:rsidRDefault="003D0864" w:rsidP="007D468E">
      <w:pPr>
        <w:pStyle w:val="2"/>
        <w:keepNext w:val="0"/>
        <w:keepLines w:val="0"/>
        <w:spacing w:before="0" w:line="288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7D468E">
        <w:rPr>
          <w:rFonts w:ascii="Times New Roman" w:eastAsia="Times New Roman" w:hAnsi="Times New Roman" w:cs="Times New Roman"/>
          <w:b w:val="0"/>
          <w:color w:val="auto"/>
          <w:lang w:eastAsia="ru-RU"/>
        </w:rPr>
        <w:t>С целью развития и поддержки субъектов МСП в 20</w:t>
      </w:r>
      <w:r w:rsidR="008E39E5" w:rsidRPr="007D468E">
        <w:rPr>
          <w:rFonts w:ascii="Times New Roman" w:eastAsia="Times New Roman" w:hAnsi="Times New Roman" w:cs="Times New Roman"/>
          <w:b w:val="0"/>
          <w:color w:val="auto"/>
          <w:lang w:eastAsia="ru-RU"/>
        </w:rPr>
        <w:t>20</w:t>
      </w:r>
      <w:r w:rsidRPr="007D468E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году:</w:t>
      </w:r>
    </w:p>
    <w:p w:rsidR="008E39E5" w:rsidRPr="007D468E" w:rsidRDefault="003D0864" w:rsidP="007D468E">
      <w:pPr>
        <w:pStyle w:val="a3"/>
        <w:numPr>
          <w:ilvl w:val="0"/>
          <w:numId w:val="4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оказана финансовая поддержка</w:t>
      </w:r>
      <w:r w:rsidR="008E39E5"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864" w:rsidRDefault="008E39E5" w:rsidP="007D468E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субсидирования части расходов на приобретение оборудования в целях создания и (или) модернизации производства товаров (работ, услуг) 5 субъектам малого и среднего предпринимательства: ООО Племхоз </w:t>
      </w:r>
      <w:r w:rsidR="00471F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Изваильский-97</w:t>
      </w:r>
      <w:r w:rsidR="00471F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ИП Швецов С.А., Главе ЛПХ Рудницкий С.В., ООО Центр профилактической медицины </w:t>
      </w:r>
      <w:r w:rsidR="00471F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Ультрамед+</w:t>
      </w:r>
      <w:r w:rsidR="00471F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ООО Центр профилактической медицины </w:t>
      </w:r>
      <w:r w:rsidR="00471F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Ультрамед</w:t>
      </w:r>
      <w:r w:rsidR="00471F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D0864" w:rsidRPr="007D46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3D0864" w:rsidRPr="007D46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3996" w:rsidRPr="007D468E" w:rsidRDefault="00363996" w:rsidP="00363996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996">
        <w:rPr>
          <w:rFonts w:ascii="Times New Roman" w:hAnsi="Times New Roman" w:cs="Times New Roman"/>
          <w:sz w:val="26"/>
          <w:szCs w:val="26"/>
        </w:rPr>
        <w:t>в виде субсидирования части затрат на уплату лизинговых платежей по договорам финансовой аренды (лизинга)  одному субъекту малого и среднего предпринимательству ИП Ильяковой Е.В.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E39E5" w:rsidRPr="007D468E" w:rsidRDefault="008E39E5" w:rsidP="00363996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в виде субсидирования части расходов на реализацию народного проекта ООО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Лесторг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>;</w:t>
      </w:r>
    </w:p>
    <w:p w:rsidR="008E39E5" w:rsidRPr="007D468E" w:rsidRDefault="008E39E5" w:rsidP="007D468E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в виде субсидирования части затрат по приобретению кормов для животных в период введения режима повышенной готовности  ИП Матющенко Ю.И.</w:t>
      </w:r>
    </w:p>
    <w:p w:rsidR="003D0864" w:rsidRPr="007D468E" w:rsidRDefault="003D0864" w:rsidP="007D468E">
      <w:pPr>
        <w:pStyle w:val="a3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с целью улучшения условий ведения предпринимательской деятельности оказана имущественная поддержка </w:t>
      </w:r>
      <w:r w:rsidR="008E39E5" w:rsidRPr="007D468E">
        <w:rPr>
          <w:rFonts w:ascii="Times New Roman" w:hAnsi="Times New Roman" w:cs="Times New Roman"/>
          <w:sz w:val="26"/>
          <w:szCs w:val="26"/>
        </w:rPr>
        <w:t xml:space="preserve">13 субъектам малого и среднего предпринимательства (далее – МСП) в виде передачи в пользование имущества, включенного в перечень муниципального имущества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8E39E5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8E39E5" w:rsidRPr="007D468E">
        <w:rPr>
          <w:rFonts w:ascii="Times New Roman" w:hAnsi="Times New Roman" w:cs="Times New Roman"/>
          <w:sz w:val="26"/>
          <w:szCs w:val="26"/>
        </w:rPr>
        <w:t>, свободного от прав третьих лиц (за исключением имущественных прав субъектов МСП), в целях предоставления его на долгосрочной основе во владение и (или) пользование субъектам МСП, в том числе были заключены 2 краткосрочных договора аренды</w:t>
      </w:r>
      <w:r w:rsidRPr="007D468E">
        <w:rPr>
          <w:rFonts w:ascii="Times New Roman" w:hAnsi="Times New Roman" w:cs="Times New Roman"/>
          <w:sz w:val="26"/>
          <w:szCs w:val="26"/>
        </w:rPr>
        <w:t>;</w:t>
      </w:r>
    </w:p>
    <w:p w:rsidR="00A7693A" w:rsidRPr="007D468E" w:rsidRDefault="008E39E5" w:rsidP="007D468E">
      <w:pPr>
        <w:pStyle w:val="a3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с целью расширения доступа субъектов МСП к финансовой поддержке, в том числе к льготному финансированию, оказана консультационная поддержка 53 субъектам МСП по услугам АО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Микрокредитной компании Республики Коми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и 10 субъектам МСП по услугам АО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Гарантийный фонд Республики Коми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>;</w:t>
      </w:r>
    </w:p>
    <w:p w:rsidR="00A7693A" w:rsidRPr="007D468E" w:rsidRDefault="00A7693A" w:rsidP="007D468E">
      <w:pPr>
        <w:pStyle w:val="a3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с целью популяризации предпринимательства используются четыре источника доведения информации. На Официальном портале администрации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размещены 88 информационных материалов, 1340 рассылок направлено по электронной почте в адрес субъектов МСП, в социальной группе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ВКонтакте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Мой бизнес 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размещено 906 информационных материалов для субъектов МСП и тех, кто желает начать свой бизнес. В газете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размещены 9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Историй успеха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. В информационном бюллетене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Город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размещено 5 информационных материалов;  </w:t>
      </w:r>
    </w:p>
    <w:p w:rsidR="00A7693A" w:rsidRPr="007D468E" w:rsidRDefault="00A7693A" w:rsidP="007D468E">
      <w:pPr>
        <w:pStyle w:val="a3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lastRenderedPageBreak/>
        <w:t xml:space="preserve">в целях акселерации предпринимательства организованы и проведены мероприятия, посвященные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Всемирной неделе предпринимательства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. Проведены прямые линии с субъектами малого и среднего бизнеса, рабочие встречи, мастер-классы, обучающие программы и конкурсы, в которых приняли участие 4898 человек. Организованы и проведены 5 обучающих программ, 28 семинаров и совещаний, направленных на обучение основам ведения бизнеса, финансовой грамотности и иным навыкам предпринимательской деятельности. </w:t>
      </w:r>
    </w:p>
    <w:p w:rsidR="003D0864" w:rsidRPr="007D468E" w:rsidRDefault="003D0864" w:rsidP="007D468E">
      <w:pPr>
        <w:pStyle w:val="a3"/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Указанные мероприятия позволят повысить привлекательность предпринимательской деятельности,  и как следствие, увеличить количество зарегистрированных  </w:t>
      </w:r>
      <w:r w:rsidRPr="007D468E">
        <w:rPr>
          <w:rFonts w:ascii="Times New Roman" w:eastAsia="Calibri" w:hAnsi="Times New Roman" w:cs="Times New Roman"/>
          <w:sz w:val="26"/>
          <w:szCs w:val="26"/>
        </w:rPr>
        <w:t>субъектов МСП</w:t>
      </w:r>
      <w:r w:rsidRPr="007D468E">
        <w:rPr>
          <w:rFonts w:ascii="Times New Roman" w:hAnsi="Times New Roman" w:cs="Times New Roman"/>
          <w:sz w:val="26"/>
          <w:szCs w:val="26"/>
        </w:rPr>
        <w:t>, их информированность.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В ходе мониторинга Стратегии по 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 xml:space="preserve">блоку 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>Социальное развитие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оценивалось достижение 35 показателей, процент выполнения составил  </w:t>
      </w:r>
      <w:r w:rsidR="00A7693A" w:rsidRPr="007D468E">
        <w:rPr>
          <w:rFonts w:ascii="Times New Roman" w:hAnsi="Times New Roman" w:cs="Times New Roman"/>
          <w:sz w:val="26"/>
          <w:szCs w:val="26"/>
        </w:rPr>
        <w:t>65</w:t>
      </w:r>
      <w:r w:rsidRPr="007D468E">
        <w:rPr>
          <w:rFonts w:ascii="Times New Roman" w:hAnsi="Times New Roman" w:cs="Times New Roman"/>
          <w:sz w:val="26"/>
          <w:szCs w:val="26"/>
        </w:rPr>
        <w:t>,</w:t>
      </w:r>
      <w:r w:rsidR="00A7693A" w:rsidRPr="007D468E">
        <w:rPr>
          <w:rFonts w:ascii="Times New Roman" w:hAnsi="Times New Roman" w:cs="Times New Roman"/>
          <w:sz w:val="26"/>
          <w:szCs w:val="26"/>
        </w:rPr>
        <w:t>6</w:t>
      </w:r>
      <w:r w:rsidRPr="007D468E">
        <w:rPr>
          <w:rFonts w:ascii="Times New Roman" w:hAnsi="Times New Roman" w:cs="Times New Roman"/>
          <w:sz w:val="26"/>
          <w:szCs w:val="26"/>
        </w:rPr>
        <w:t>%.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Негативное влияние на достижение показателей по блоку оказали: 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сокращение численности населения муниципального образования по сравнению с 201</w:t>
      </w:r>
      <w:r w:rsidR="00A7693A" w:rsidRPr="007D468E">
        <w:rPr>
          <w:rFonts w:ascii="Times New Roman" w:hAnsi="Times New Roman" w:cs="Times New Roman"/>
          <w:sz w:val="26"/>
          <w:szCs w:val="26"/>
        </w:rPr>
        <w:t>9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годом составило </w:t>
      </w:r>
      <w:r w:rsidR="00A7693A" w:rsidRPr="007D468E">
        <w:rPr>
          <w:rFonts w:ascii="Times New Roman" w:hAnsi="Times New Roman" w:cs="Times New Roman"/>
          <w:sz w:val="26"/>
          <w:szCs w:val="26"/>
        </w:rPr>
        <w:t>1439</w:t>
      </w:r>
      <w:r w:rsidRPr="007D468E">
        <w:rPr>
          <w:rFonts w:ascii="Times New Roman" w:hAnsi="Times New Roman" w:cs="Times New Roman"/>
          <w:sz w:val="26"/>
          <w:szCs w:val="26"/>
        </w:rPr>
        <w:t xml:space="preserve"> человек. Оценку движения населения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провести не представляется возможным, ввиду отсутствия сведений Территориального органа Федеральной службы государственной статистики по Республике Коми о демографической ситуации по состоянию на 01.01.202</w:t>
      </w:r>
      <w:r w:rsidR="00A7693A" w:rsidRPr="007D468E">
        <w:rPr>
          <w:rFonts w:ascii="Times New Roman" w:hAnsi="Times New Roman" w:cs="Times New Roman"/>
          <w:sz w:val="26"/>
          <w:szCs w:val="26"/>
        </w:rPr>
        <w:t>1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наличие кадровой потребности в учреждениях здравоохранения негативно сказывается на показателях обеспеченности населения амбулаторно-поликлиническими учреждениями и врачами. Ведется активная работа по привлечению молодых специалистов медицинских ВУЗов, врачей через СМИ и центры занятости населения;</w:t>
      </w:r>
    </w:p>
    <w:p w:rsidR="00A7693A" w:rsidRPr="007D468E" w:rsidRDefault="00A7693A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введение ограничительных мер, вызванных распространением новой коронавирусной инфекции (COVID-19);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необходимость капитальных вложений в строительство школ для обеспечения образовательного процесса в муниципальных общеобразовательных организациях в одну смену. 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Результатом развития социальной сферы и обеспечения социальной стабильности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является рост удовлетворенности населения услугами в сфере образования, культуры</w:t>
      </w:r>
      <w:r w:rsidR="00A7693A" w:rsidRPr="007D468E">
        <w:rPr>
          <w:rFonts w:ascii="Times New Roman" w:hAnsi="Times New Roman" w:cs="Times New Roman"/>
          <w:sz w:val="26"/>
          <w:szCs w:val="26"/>
        </w:rPr>
        <w:t>, физической культуры</w:t>
      </w:r>
      <w:r w:rsidRPr="007D468E">
        <w:rPr>
          <w:rFonts w:ascii="Times New Roman" w:hAnsi="Times New Roman" w:cs="Times New Roman"/>
          <w:sz w:val="26"/>
          <w:szCs w:val="26"/>
        </w:rPr>
        <w:t xml:space="preserve"> и здравоохранения.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В ходе мониторинга Стратегии по 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 xml:space="preserve">блоку 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>Развитие системы муниципального управления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оценивалось достижение 14 показателей, процент выполнения составил  57,1%.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Результатом усилий органов местного самоуправления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направленных на обеспечение комфортной жизнедеятельности граждан муниципального образования является рост уровня удовлетворенности населения деятельностью органов местного самоуправления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на </w:t>
      </w:r>
      <w:r w:rsidR="00092B91" w:rsidRPr="007D468E">
        <w:rPr>
          <w:rFonts w:ascii="Times New Roman" w:hAnsi="Times New Roman" w:cs="Times New Roman"/>
          <w:sz w:val="26"/>
          <w:szCs w:val="26"/>
        </w:rPr>
        <w:t>34,8</w:t>
      </w:r>
      <w:r w:rsidRPr="007D468E">
        <w:rPr>
          <w:rFonts w:ascii="Times New Roman" w:hAnsi="Times New Roman" w:cs="Times New Roman"/>
          <w:sz w:val="26"/>
          <w:szCs w:val="26"/>
        </w:rPr>
        <w:t xml:space="preserve"> % по сравнению с 201</w:t>
      </w:r>
      <w:r w:rsidR="00092B91" w:rsidRPr="007D468E">
        <w:rPr>
          <w:rFonts w:ascii="Times New Roman" w:hAnsi="Times New Roman" w:cs="Times New Roman"/>
          <w:sz w:val="26"/>
          <w:szCs w:val="26"/>
        </w:rPr>
        <w:t>9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годом. 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Доля граждан, проживающих на территории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использующих механизм получения муниципальных услуг в электронной форме, от общего количества обратившихся граждан, не достигла планового значения </w:t>
      </w:r>
      <w:r w:rsidR="00092B91" w:rsidRPr="007D468E">
        <w:rPr>
          <w:rFonts w:ascii="Times New Roman" w:hAnsi="Times New Roman" w:cs="Times New Roman"/>
          <w:sz w:val="26"/>
          <w:szCs w:val="26"/>
        </w:rPr>
        <w:t xml:space="preserve">по причине приостановки перевода муниципальных услуг в электронную форму и отсутствия автоматизации  80% </w:t>
      </w:r>
      <w:r w:rsidR="00092B91" w:rsidRPr="007D468E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услуг администрации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092B91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>. Для популяризации муниципальных услуг</w:t>
      </w:r>
      <w:r w:rsidR="00092B91" w:rsidRPr="007D468E">
        <w:rPr>
          <w:rFonts w:ascii="Times New Roman" w:hAnsi="Times New Roman" w:cs="Times New Roman"/>
          <w:sz w:val="26"/>
          <w:szCs w:val="26"/>
        </w:rPr>
        <w:t xml:space="preserve"> оборудовано 2 рабочих места для регистрации в ЕСИА (единая система идентификации и аутентификации)</w:t>
      </w:r>
      <w:r w:rsidRPr="007D468E">
        <w:rPr>
          <w:rFonts w:ascii="Times New Roman" w:hAnsi="Times New Roman" w:cs="Times New Roman"/>
          <w:sz w:val="26"/>
          <w:szCs w:val="26"/>
        </w:rPr>
        <w:t xml:space="preserve">  (в 20</w:t>
      </w:r>
      <w:r w:rsidR="00092B91" w:rsidRPr="007D468E">
        <w:rPr>
          <w:rFonts w:ascii="Times New Roman" w:hAnsi="Times New Roman" w:cs="Times New Roman"/>
          <w:sz w:val="26"/>
          <w:szCs w:val="26"/>
        </w:rPr>
        <w:t>20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году зарегистрировано </w:t>
      </w:r>
      <w:r w:rsidR="00092B91" w:rsidRPr="007D468E">
        <w:rPr>
          <w:rFonts w:ascii="Times New Roman" w:hAnsi="Times New Roman" w:cs="Times New Roman"/>
          <w:sz w:val="26"/>
          <w:szCs w:val="26"/>
        </w:rPr>
        <w:t>73</w:t>
      </w:r>
      <w:r w:rsidRPr="007D468E">
        <w:rPr>
          <w:rFonts w:ascii="Times New Roman" w:hAnsi="Times New Roman" w:cs="Times New Roman"/>
          <w:sz w:val="26"/>
          <w:szCs w:val="26"/>
        </w:rPr>
        <w:t xml:space="preserve"> человека), на постоянной основе проводилось информирование граждан о возможности получения муниципальных услуг в электронном виде.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Отклонение фактического объема муниципального долга к доходам бюджета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без учета утвержденного объема безвозмездных поступлений и поступлений налоговых доходов по дополнительным нормативам, от планового составило 4 % и обусловлено увеличением объема муниципального долга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>. Следует отметить, что просроченная задолженность по долговым обязательствам отсутствует.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>За 20</w:t>
      </w:r>
      <w:r w:rsidR="007854D7" w:rsidRPr="007D468E">
        <w:rPr>
          <w:rFonts w:ascii="Times New Roman" w:hAnsi="Times New Roman" w:cs="Times New Roman"/>
          <w:sz w:val="26"/>
          <w:szCs w:val="26"/>
        </w:rPr>
        <w:t>20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 муниципальный долг увеличился на </w:t>
      </w:r>
      <w:r w:rsidR="007854D7" w:rsidRPr="007D468E">
        <w:rPr>
          <w:rFonts w:ascii="Times New Roman" w:hAnsi="Times New Roman" w:cs="Times New Roman"/>
          <w:sz w:val="26"/>
          <w:szCs w:val="26"/>
        </w:rPr>
        <w:t>20</w:t>
      </w:r>
      <w:r w:rsidRPr="007D468E">
        <w:rPr>
          <w:rFonts w:ascii="Times New Roman" w:hAnsi="Times New Roman" w:cs="Times New Roman"/>
          <w:sz w:val="26"/>
          <w:szCs w:val="26"/>
        </w:rPr>
        <w:t>,0 млн. рублей  и составил 3</w:t>
      </w:r>
      <w:r w:rsidR="007854D7" w:rsidRPr="007D468E">
        <w:rPr>
          <w:rFonts w:ascii="Times New Roman" w:hAnsi="Times New Roman" w:cs="Times New Roman"/>
          <w:sz w:val="26"/>
          <w:szCs w:val="26"/>
        </w:rPr>
        <w:t>8</w:t>
      </w:r>
      <w:r w:rsidRPr="007D468E">
        <w:rPr>
          <w:rFonts w:ascii="Times New Roman" w:hAnsi="Times New Roman" w:cs="Times New Roman"/>
          <w:sz w:val="26"/>
          <w:szCs w:val="26"/>
        </w:rPr>
        <w:t xml:space="preserve">3,0 млн. рублей (не превышает предельных значений, установленных Бюджетным кодексом Российской Федерации). </w:t>
      </w:r>
      <w:r w:rsidR="0002315E" w:rsidRPr="007D468E">
        <w:rPr>
          <w:rFonts w:ascii="Times New Roman" w:hAnsi="Times New Roman" w:cs="Times New Roman"/>
          <w:sz w:val="26"/>
          <w:szCs w:val="26"/>
        </w:rPr>
        <w:t xml:space="preserve">Экономия по расходам на обслуживание муниципального долга от первоначального решения Совета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02315E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02315E" w:rsidRPr="007D468E">
        <w:rPr>
          <w:rFonts w:ascii="Times New Roman" w:hAnsi="Times New Roman" w:cs="Times New Roman"/>
          <w:sz w:val="26"/>
          <w:szCs w:val="26"/>
        </w:rPr>
        <w:t xml:space="preserve"> от 12 декабря 2019 года № 386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02315E" w:rsidRPr="007D468E">
        <w:rPr>
          <w:rFonts w:ascii="Times New Roman" w:hAnsi="Times New Roman" w:cs="Times New Roman"/>
          <w:sz w:val="26"/>
          <w:szCs w:val="26"/>
        </w:rPr>
        <w:t xml:space="preserve">О бюджете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02315E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02315E" w:rsidRPr="007D468E">
        <w:rPr>
          <w:rFonts w:ascii="Times New Roman" w:hAnsi="Times New Roman" w:cs="Times New Roman"/>
          <w:sz w:val="26"/>
          <w:szCs w:val="26"/>
        </w:rPr>
        <w:t xml:space="preserve"> на 2020 год и плановый период 2021 и 2022 годов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02315E" w:rsidRPr="007D468E">
        <w:rPr>
          <w:rFonts w:ascii="Times New Roman" w:hAnsi="Times New Roman" w:cs="Times New Roman"/>
          <w:sz w:val="26"/>
          <w:szCs w:val="26"/>
        </w:rPr>
        <w:t xml:space="preserve"> составила 68,6 % от запланированного значения. </w:t>
      </w:r>
      <w:r w:rsidRPr="007D468E">
        <w:rPr>
          <w:rFonts w:ascii="Times New Roman" w:hAnsi="Times New Roman" w:cs="Times New Roman"/>
          <w:sz w:val="26"/>
          <w:szCs w:val="26"/>
        </w:rPr>
        <w:t>На 1 января 202</w:t>
      </w:r>
      <w:r w:rsidR="0002315E" w:rsidRPr="007D468E">
        <w:rPr>
          <w:rFonts w:ascii="Times New Roman" w:hAnsi="Times New Roman" w:cs="Times New Roman"/>
          <w:sz w:val="26"/>
          <w:szCs w:val="26"/>
        </w:rPr>
        <w:t>1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года </w:t>
      </w:r>
      <w:r w:rsidR="0002315E" w:rsidRPr="007D468E">
        <w:rPr>
          <w:rFonts w:ascii="Times New Roman" w:hAnsi="Times New Roman" w:cs="Times New Roman"/>
          <w:sz w:val="26"/>
          <w:szCs w:val="26"/>
        </w:rPr>
        <w:t xml:space="preserve">дефицит бюджета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02315E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02315E" w:rsidRPr="007D468E">
        <w:rPr>
          <w:rFonts w:ascii="Times New Roman" w:hAnsi="Times New Roman" w:cs="Times New Roman"/>
          <w:sz w:val="26"/>
          <w:szCs w:val="26"/>
        </w:rPr>
        <w:t xml:space="preserve"> составил 104 951,99 тыс. руб. или 4,1 % и соответствует ограничениям установленным пунктом 3 статьи 92.1 Бюджетного кодекса Российской Федерации</w:t>
      </w:r>
      <w:r w:rsidRPr="007D468E">
        <w:rPr>
          <w:rFonts w:ascii="Times New Roman" w:hAnsi="Times New Roman" w:cs="Times New Roman"/>
          <w:sz w:val="26"/>
          <w:szCs w:val="26"/>
        </w:rPr>
        <w:t>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Отсутствие спроса на предлагаемые к приватизации объекты недвижимости негативно сказалось на удельном весе приватизированных объектов недвижимости, находящихся в муниципальной собственности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0864" w:rsidRPr="007D468E" w:rsidRDefault="0002315E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Доходы бюджета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полученные от использования имущества, находящегося в муниципальной собственности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 не достигли планового значения на 69,5 млн. руб., в связи с низким спросом на муниципальную собственность, т.к. требуется проведение ремонтных работ для увеличения экономической привлекательности объектов, низкой платежеспособности арендаторов, в связи с введением режима повышенной готовности, предоставление отсрочки и освобождения по арендным платежам с целью поддержки субъектов малого и среднего предпринимательства в период </w:t>
      </w:r>
      <w:r w:rsidR="00DB14CC" w:rsidRPr="007D468E">
        <w:rPr>
          <w:rFonts w:ascii="Times New Roman" w:hAnsi="Times New Roman" w:cs="Times New Roman"/>
          <w:sz w:val="26"/>
          <w:szCs w:val="26"/>
        </w:rPr>
        <w:t>введения ограничительных мер, вызванных распространением новой коронавирусной инфекции (COVID-19)</w:t>
      </w:r>
      <w:r w:rsidR="003D0864" w:rsidRPr="007D468E">
        <w:rPr>
          <w:rFonts w:ascii="Times New Roman" w:hAnsi="Times New Roman" w:cs="Times New Roman"/>
          <w:sz w:val="26"/>
          <w:szCs w:val="26"/>
        </w:rPr>
        <w:t>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В ходе мониторинга 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 xml:space="preserve">блока 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Pr="007D468E">
        <w:rPr>
          <w:rFonts w:ascii="Times New Roman" w:hAnsi="Times New Roman" w:cs="Times New Roman"/>
          <w:b/>
          <w:i/>
          <w:sz w:val="26"/>
          <w:szCs w:val="26"/>
        </w:rPr>
        <w:t>Обеспечение безопасности жизнедеятельности населения</w:t>
      </w:r>
      <w:r w:rsidR="00471FB6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Стратегии оценивалось достижение 10 показателей, из них выполнено 8, процент достижения составил 80,0%.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Значение показателя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Уровень преступности (количество зарегистрированных преступлений на 100 тыс. человек)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не достигло планового значения, по сравнению с 201</w:t>
      </w:r>
      <w:r w:rsidR="00DB14CC" w:rsidRPr="007D468E">
        <w:rPr>
          <w:rFonts w:ascii="Times New Roman" w:hAnsi="Times New Roman" w:cs="Times New Roman"/>
          <w:sz w:val="26"/>
          <w:szCs w:val="26"/>
        </w:rPr>
        <w:t>9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годом уровень преступности в отчетном году увеличился на 13,</w:t>
      </w:r>
      <w:r w:rsidR="00DB14CC" w:rsidRPr="007D468E">
        <w:rPr>
          <w:rFonts w:ascii="Times New Roman" w:hAnsi="Times New Roman" w:cs="Times New Roman"/>
          <w:sz w:val="26"/>
          <w:szCs w:val="26"/>
        </w:rPr>
        <w:t>7</w:t>
      </w:r>
      <w:r w:rsidRPr="007D468E">
        <w:rPr>
          <w:rFonts w:ascii="Times New Roman" w:hAnsi="Times New Roman" w:cs="Times New Roman"/>
          <w:sz w:val="26"/>
          <w:szCs w:val="26"/>
        </w:rPr>
        <w:t>%. Увеличилось количество преступлен</w:t>
      </w:r>
      <w:r w:rsidR="00DB14CC" w:rsidRPr="007D468E">
        <w:rPr>
          <w:rFonts w:ascii="Times New Roman" w:hAnsi="Times New Roman" w:cs="Times New Roman"/>
          <w:sz w:val="26"/>
          <w:szCs w:val="26"/>
        </w:rPr>
        <w:t>ий экономической направленности</w:t>
      </w:r>
      <w:r w:rsidRPr="007D468E">
        <w:rPr>
          <w:rFonts w:ascii="Times New Roman" w:hAnsi="Times New Roman" w:cs="Times New Roman"/>
          <w:sz w:val="26"/>
          <w:szCs w:val="26"/>
        </w:rPr>
        <w:t>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Отклонение значения показателя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Количество пожаров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от утвержденного обусловлено неосторожным обращением населения с огнем, нарушением правил устройства, монтажа и эксплуатации электрооборудования, нарушением правил устройства и эксплуатации печей.</w:t>
      </w:r>
      <w:r w:rsidR="00DB14CC" w:rsidRPr="007D468E">
        <w:rPr>
          <w:rFonts w:ascii="Times New Roman" w:hAnsi="Times New Roman" w:cs="Times New Roman"/>
          <w:sz w:val="26"/>
          <w:szCs w:val="26"/>
        </w:rPr>
        <w:t xml:space="preserve"> </w:t>
      </w:r>
      <w:r w:rsidRPr="007D468E">
        <w:rPr>
          <w:rFonts w:ascii="Times New Roman" w:hAnsi="Times New Roman" w:cs="Times New Roman"/>
          <w:sz w:val="26"/>
          <w:szCs w:val="26"/>
        </w:rPr>
        <w:t>Отмечается положительная динамика по сравнению с 201</w:t>
      </w:r>
      <w:r w:rsidR="00DB14CC" w:rsidRPr="007D468E">
        <w:rPr>
          <w:rFonts w:ascii="Times New Roman" w:hAnsi="Times New Roman" w:cs="Times New Roman"/>
          <w:sz w:val="26"/>
          <w:szCs w:val="26"/>
        </w:rPr>
        <w:t>9</w:t>
      </w:r>
      <w:r w:rsidRPr="007D468E">
        <w:rPr>
          <w:rFonts w:ascii="Times New Roman" w:hAnsi="Times New Roman" w:cs="Times New Roman"/>
          <w:sz w:val="26"/>
          <w:szCs w:val="26"/>
        </w:rPr>
        <w:t xml:space="preserve"> годом</w:t>
      </w:r>
      <w:r w:rsidR="00DB14CC" w:rsidRPr="007D468E">
        <w:rPr>
          <w:rFonts w:ascii="Times New Roman" w:hAnsi="Times New Roman" w:cs="Times New Roman"/>
          <w:sz w:val="26"/>
          <w:szCs w:val="26"/>
        </w:rPr>
        <w:t xml:space="preserve"> на 3,8 %</w:t>
      </w:r>
      <w:r w:rsidRPr="007D468E">
        <w:rPr>
          <w:rFonts w:ascii="Times New Roman" w:hAnsi="Times New Roman" w:cs="Times New Roman"/>
          <w:sz w:val="26"/>
          <w:szCs w:val="26"/>
        </w:rPr>
        <w:t>.</w:t>
      </w:r>
    </w:p>
    <w:p w:rsidR="003D0864" w:rsidRPr="007D468E" w:rsidRDefault="003D0864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14CC" w:rsidRPr="007D468E" w:rsidRDefault="003D0864" w:rsidP="007D468E">
      <w:pPr>
        <w:spacing w:after="0" w:line="288" w:lineRule="auto"/>
        <w:ind w:firstLine="709"/>
        <w:jc w:val="both"/>
        <w:rPr>
          <w:rStyle w:val="FontStyle12"/>
          <w:sz w:val="26"/>
          <w:szCs w:val="26"/>
        </w:rPr>
      </w:pPr>
      <w:r w:rsidRPr="007D468E">
        <w:rPr>
          <w:rStyle w:val="FontStyle12"/>
          <w:sz w:val="26"/>
          <w:szCs w:val="26"/>
        </w:rPr>
        <w:t xml:space="preserve">Основными механизмами реализации Стратегии социально-экономического развития МОГО </w:t>
      </w:r>
      <w:r w:rsidR="00471FB6">
        <w:rPr>
          <w:rStyle w:val="FontStyle12"/>
          <w:sz w:val="26"/>
          <w:szCs w:val="26"/>
        </w:rPr>
        <w:t>«</w:t>
      </w:r>
      <w:r w:rsidRPr="007D468E">
        <w:rPr>
          <w:rStyle w:val="FontStyle12"/>
          <w:sz w:val="26"/>
          <w:szCs w:val="26"/>
        </w:rPr>
        <w:t>Ухта</w:t>
      </w:r>
      <w:r w:rsidR="00471FB6">
        <w:rPr>
          <w:rStyle w:val="FontStyle12"/>
          <w:sz w:val="26"/>
          <w:szCs w:val="26"/>
        </w:rPr>
        <w:t>»</w:t>
      </w:r>
      <w:r w:rsidRPr="007D468E">
        <w:rPr>
          <w:rStyle w:val="FontStyle12"/>
          <w:sz w:val="26"/>
          <w:szCs w:val="26"/>
        </w:rPr>
        <w:t xml:space="preserve"> на период до 2020 года являются муниципальные программы МОГО </w:t>
      </w:r>
      <w:r w:rsidR="00471FB6">
        <w:rPr>
          <w:rStyle w:val="FontStyle12"/>
          <w:sz w:val="26"/>
          <w:szCs w:val="26"/>
        </w:rPr>
        <w:t>«</w:t>
      </w:r>
      <w:r w:rsidRPr="007D468E">
        <w:rPr>
          <w:rStyle w:val="FontStyle12"/>
          <w:sz w:val="26"/>
          <w:szCs w:val="26"/>
        </w:rPr>
        <w:t>Ухта</w:t>
      </w:r>
      <w:r w:rsidR="00471FB6">
        <w:rPr>
          <w:rStyle w:val="FontStyle12"/>
          <w:sz w:val="26"/>
          <w:szCs w:val="26"/>
        </w:rPr>
        <w:t>»</w:t>
      </w:r>
      <w:r w:rsidRPr="007D468E">
        <w:rPr>
          <w:rStyle w:val="FontStyle12"/>
          <w:sz w:val="26"/>
          <w:szCs w:val="26"/>
        </w:rPr>
        <w:t>. В 20</w:t>
      </w:r>
      <w:r w:rsidR="00DB14CC" w:rsidRPr="007D468E">
        <w:rPr>
          <w:rStyle w:val="FontStyle12"/>
          <w:sz w:val="26"/>
          <w:szCs w:val="26"/>
        </w:rPr>
        <w:t>20</w:t>
      </w:r>
      <w:r w:rsidRPr="007D468E">
        <w:rPr>
          <w:rStyle w:val="FontStyle12"/>
          <w:sz w:val="26"/>
          <w:szCs w:val="26"/>
        </w:rPr>
        <w:t xml:space="preserve"> году на территории МОГО </w:t>
      </w:r>
      <w:r w:rsidR="00471FB6">
        <w:rPr>
          <w:rStyle w:val="FontStyle12"/>
          <w:sz w:val="26"/>
          <w:szCs w:val="26"/>
        </w:rPr>
        <w:t>«</w:t>
      </w:r>
      <w:r w:rsidRPr="007D468E">
        <w:rPr>
          <w:rStyle w:val="FontStyle12"/>
          <w:sz w:val="26"/>
          <w:szCs w:val="26"/>
        </w:rPr>
        <w:t>Ухта</w:t>
      </w:r>
      <w:r w:rsidR="00471FB6">
        <w:rPr>
          <w:rStyle w:val="FontStyle12"/>
          <w:sz w:val="26"/>
          <w:szCs w:val="26"/>
        </w:rPr>
        <w:t>»</w:t>
      </w:r>
      <w:r w:rsidRPr="007D468E">
        <w:rPr>
          <w:rStyle w:val="FontStyle12"/>
          <w:sz w:val="26"/>
          <w:szCs w:val="26"/>
        </w:rPr>
        <w:t xml:space="preserve"> реализовывались 10 муниципальных программ: </w:t>
      </w:r>
      <w:r w:rsidR="00471FB6">
        <w:rPr>
          <w:rStyle w:val="FontStyle12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Развитие экономики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Жилье и жилищно-коммунальное хозяйство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Культура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Развитие физической культуры и спорта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Развитие системы муниципального управления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Безопасность жизнедеятельности населения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Социальная поддержка населения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. </w:t>
      </w:r>
      <w:r w:rsidR="00DB14CC" w:rsidRPr="007D468E">
        <w:rPr>
          <w:rFonts w:ascii="Times New Roman" w:hAnsi="Times New Roman" w:cs="Times New Roman"/>
          <w:sz w:val="26"/>
          <w:szCs w:val="26"/>
        </w:rPr>
        <w:t xml:space="preserve">Годовой доклад о ходе реализации и оценке эффективности муниципальных программ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DB14CC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DB14CC" w:rsidRPr="007D468E">
        <w:rPr>
          <w:rFonts w:ascii="Times New Roman" w:hAnsi="Times New Roman" w:cs="Times New Roman"/>
          <w:sz w:val="26"/>
          <w:szCs w:val="26"/>
        </w:rPr>
        <w:t xml:space="preserve"> за 2020 год сформирован  и размещен на Официальном портале администрации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="00DB14CC"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="00DB14CC" w:rsidRPr="007D468E">
        <w:rPr>
          <w:rStyle w:val="FontStyle12"/>
          <w:sz w:val="26"/>
          <w:szCs w:val="26"/>
        </w:rPr>
        <w:t xml:space="preserve"> </w:t>
      </w:r>
      <w:hyperlink r:id="rId7" w:history="1">
        <w:r w:rsidR="009A2C23" w:rsidRPr="007D468E">
          <w:rPr>
            <w:rStyle w:val="a6"/>
            <w:rFonts w:ascii="Times New Roman" w:hAnsi="Times New Roman" w:cs="Times New Roman"/>
            <w:sz w:val="26"/>
            <w:szCs w:val="26"/>
          </w:rPr>
          <w:t>https://mouhta.ru/directions/ business/strateg-uprav/#mun-programs</w:t>
        </w:r>
      </w:hyperlink>
      <w:r w:rsidR="009A2C23" w:rsidRPr="007D468E">
        <w:rPr>
          <w:rStyle w:val="FontStyle12"/>
          <w:sz w:val="26"/>
          <w:szCs w:val="26"/>
        </w:rPr>
        <w:t>.</w:t>
      </w:r>
    </w:p>
    <w:p w:rsidR="009A2C23" w:rsidRPr="007D468E" w:rsidRDefault="009A2C23" w:rsidP="007D468E">
      <w:pPr>
        <w:spacing w:after="0" w:line="288" w:lineRule="auto"/>
        <w:ind w:firstLine="709"/>
        <w:jc w:val="both"/>
        <w:rPr>
          <w:rStyle w:val="FontStyle12"/>
          <w:sz w:val="26"/>
          <w:szCs w:val="26"/>
        </w:rPr>
      </w:pPr>
    </w:p>
    <w:p w:rsidR="009A2C23" w:rsidRPr="007D468E" w:rsidRDefault="009A2C23" w:rsidP="007D46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Реализация Стратегии социально-экономического развития муниципального образования городского округа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на период до 2020 года завершена в связи с окончанием срока.  </w:t>
      </w:r>
    </w:p>
    <w:p w:rsidR="007D468E" w:rsidRPr="007D468E" w:rsidRDefault="007D468E" w:rsidP="007D468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68E">
        <w:rPr>
          <w:rFonts w:ascii="Times New Roman" w:hAnsi="Times New Roman" w:cs="Times New Roman"/>
          <w:sz w:val="26"/>
          <w:szCs w:val="26"/>
        </w:rPr>
        <w:t xml:space="preserve">С целью развития муниципального образования городского округа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, определения приоритетов, целей и задач социально-экономического развития городского округа на долгосрочную перспективу разработана и одобрена решением Совета  муниципального образования городского округа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от 23 декабря 2020 года № 37 Стратегия социально-экономического развития муниципального образования городского округа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на период до 2035 года. Основными механизмами реализации Стратегии станут муниципальные программы МОГО </w:t>
      </w:r>
      <w:r w:rsidR="00471FB6">
        <w:rPr>
          <w:rFonts w:ascii="Times New Roman" w:hAnsi="Times New Roman" w:cs="Times New Roman"/>
          <w:sz w:val="26"/>
          <w:szCs w:val="26"/>
        </w:rPr>
        <w:t>«</w:t>
      </w:r>
      <w:r w:rsidRPr="007D468E">
        <w:rPr>
          <w:rFonts w:ascii="Times New Roman" w:hAnsi="Times New Roman" w:cs="Times New Roman"/>
          <w:sz w:val="26"/>
          <w:szCs w:val="26"/>
        </w:rPr>
        <w:t>Ухта</w:t>
      </w:r>
      <w:r w:rsidR="00471FB6">
        <w:rPr>
          <w:rFonts w:ascii="Times New Roman" w:hAnsi="Times New Roman" w:cs="Times New Roman"/>
          <w:sz w:val="26"/>
          <w:szCs w:val="26"/>
        </w:rPr>
        <w:t>»</w:t>
      </w:r>
      <w:r w:rsidRPr="007D468E">
        <w:rPr>
          <w:rFonts w:ascii="Times New Roman" w:hAnsi="Times New Roman" w:cs="Times New Roman"/>
          <w:sz w:val="26"/>
          <w:szCs w:val="26"/>
        </w:rPr>
        <w:t xml:space="preserve"> сроком реализации с 2021 года.</w:t>
      </w:r>
    </w:p>
    <w:p w:rsidR="003D0864" w:rsidRPr="007D468E" w:rsidRDefault="007D468E" w:rsidP="007D468E">
      <w:pPr>
        <w:spacing w:after="0" w:line="288" w:lineRule="auto"/>
        <w:ind w:firstLine="709"/>
        <w:jc w:val="both"/>
        <w:rPr>
          <w:rStyle w:val="FontStyle12"/>
          <w:sz w:val="26"/>
          <w:szCs w:val="26"/>
        </w:rPr>
      </w:pPr>
      <w:r w:rsidRPr="007D468E">
        <w:rPr>
          <w:rStyle w:val="FontStyle12"/>
          <w:sz w:val="26"/>
          <w:szCs w:val="26"/>
        </w:rPr>
        <w:t xml:space="preserve"> </w:t>
      </w:r>
    </w:p>
    <w:p w:rsidR="003D0864" w:rsidRPr="007D468E" w:rsidRDefault="003D0864" w:rsidP="007D468E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D468E">
        <w:rPr>
          <w:rStyle w:val="FontStyle12"/>
          <w:sz w:val="26"/>
          <w:szCs w:val="26"/>
        </w:rPr>
        <w:t>_________________________________________________</w:t>
      </w:r>
    </w:p>
    <w:p w:rsidR="003D0864" w:rsidRPr="007D468E" w:rsidRDefault="003D0864" w:rsidP="007D468E">
      <w:pPr>
        <w:pStyle w:val="Default"/>
        <w:spacing w:line="288" w:lineRule="auto"/>
        <w:jc w:val="right"/>
        <w:rPr>
          <w:bCs/>
          <w:sz w:val="26"/>
          <w:szCs w:val="26"/>
        </w:rPr>
      </w:pPr>
    </w:p>
    <w:p w:rsidR="003D0864" w:rsidRDefault="003D0864" w:rsidP="003D0864">
      <w:pPr>
        <w:pStyle w:val="Default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467CA" w:rsidRDefault="008467CA"/>
    <w:sectPr w:rsidR="008467CA" w:rsidSect="000077ED">
      <w:pgSz w:w="11906" w:h="16838"/>
      <w:pgMar w:top="709" w:right="567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5D6"/>
    <w:multiLevelType w:val="hybridMultilevel"/>
    <w:tmpl w:val="D74E4442"/>
    <w:lvl w:ilvl="0" w:tplc="C2220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77C2A"/>
    <w:multiLevelType w:val="hybridMultilevel"/>
    <w:tmpl w:val="6248C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6702D1"/>
    <w:multiLevelType w:val="hybridMultilevel"/>
    <w:tmpl w:val="90881C9A"/>
    <w:lvl w:ilvl="0" w:tplc="C2220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FF0C6F"/>
    <w:multiLevelType w:val="hybridMultilevel"/>
    <w:tmpl w:val="42FE9E0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64"/>
    <w:rsid w:val="000077ED"/>
    <w:rsid w:val="0002315E"/>
    <w:rsid w:val="00071054"/>
    <w:rsid w:val="00092B91"/>
    <w:rsid w:val="000B69EC"/>
    <w:rsid w:val="002D7BA3"/>
    <w:rsid w:val="00363996"/>
    <w:rsid w:val="003D0864"/>
    <w:rsid w:val="00471FB6"/>
    <w:rsid w:val="00543735"/>
    <w:rsid w:val="007854D7"/>
    <w:rsid w:val="007D468E"/>
    <w:rsid w:val="008467CA"/>
    <w:rsid w:val="008E39E5"/>
    <w:rsid w:val="009A2C23"/>
    <w:rsid w:val="00A7693A"/>
    <w:rsid w:val="00AC4F61"/>
    <w:rsid w:val="00B22455"/>
    <w:rsid w:val="00B77D76"/>
    <w:rsid w:val="00CE3257"/>
    <w:rsid w:val="00DB14CC"/>
    <w:rsid w:val="00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64"/>
  </w:style>
  <w:style w:type="paragraph" w:styleId="2">
    <w:name w:val="heading 2"/>
    <w:basedOn w:val="a"/>
    <w:next w:val="a"/>
    <w:link w:val="20"/>
    <w:uiPriority w:val="9"/>
    <w:unhideWhenUsed/>
    <w:qFormat/>
    <w:rsid w:val="003D0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D0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3D0864"/>
    <w:pPr>
      <w:ind w:left="720"/>
      <w:contextualSpacing/>
    </w:pPr>
  </w:style>
  <w:style w:type="paragraph" w:customStyle="1" w:styleId="ConsPlusCell">
    <w:name w:val="ConsPlusCell"/>
    <w:rsid w:val="003D0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D086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6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2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64"/>
  </w:style>
  <w:style w:type="paragraph" w:styleId="2">
    <w:name w:val="heading 2"/>
    <w:basedOn w:val="a"/>
    <w:next w:val="a"/>
    <w:link w:val="20"/>
    <w:uiPriority w:val="9"/>
    <w:unhideWhenUsed/>
    <w:qFormat/>
    <w:rsid w:val="003D0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0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D0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3D0864"/>
    <w:pPr>
      <w:ind w:left="720"/>
      <w:contextualSpacing/>
    </w:pPr>
  </w:style>
  <w:style w:type="paragraph" w:customStyle="1" w:styleId="ConsPlusCell">
    <w:name w:val="ConsPlusCell"/>
    <w:rsid w:val="003D0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D086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6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2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uhta.ru/directions/%20business/strateg-uprav/#mun-progra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Сведения о достижении значений целевых  индикаторов (показателей) Стратегии по блокам</a:t>
            </a:r>
            <a:endParaRPr lang="ru-RU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запланированных показателей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Экономическое развитие</c:v>
                </c:pt>
                <c:pt idx="1">
                  <c:v>Социальное развитие</c:v>
                </c:pt>
                <c:pt idx="2">
                  <c:v>Развитие системы муниципального управления</c:v>
                </c:pt>
                <c:pt idx="3">
                  <c:v>Обеспечение безопасности жизнедеятельности населения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35</c:v>
                </c:pt>
                <c:pt idx="2">
                  <c:v>14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достигнутых показателей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Экономическое развитие</c:v>
                </c:pt>
                <c:pt idx="1">
                  <c:v>Социальное развитие</c:v>
                </c:pt>
                <c:pt idx="2">
                  <c:v>Развитие системы муниципального управления</c:v>
                </c:pt>
                <c:pt idx="3">
                  <c:v>Обеспечение безопасности жизнедеятельности населения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21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2069888"/>
        <c:axId val="230309888"/>
        <c:axId val="0"/>
      </c:bar3DChart>
      <c:catAx>
        <c:axId val="202069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230309888"/>
        <c:crosses val="autoZero"/>
        <c:auto val="1"/>
        <c:lblAlgn val="ctr"/>
        <c:lblOffset val="100"/>
        <c:noMultiLvlLbl val="0"/>
      </c:catAx>
      <c:valAx>
        <c:axId val="230309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20698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45</Pages>
  <Words>16515</Words>
  <Characters>94137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Емельянова М.В.</dc:creator>
  <cp:lastModifiedBy>Емельянова М.В.</cp:lastModifiedBy>
  <cp:revision>4</cp:revision>
  <dcterms:created xsi:type="dcterms:W3CDTF">2021-06-04T09:36:00Z</dcterms:created>
  <dcterms:modified xsi:type="dcterms:W3CDTF">2021-06-07T12:48:00Z</dcterms:modified>
</cp:coreProperties>
</file>